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66051" w14:textId="57206B3E" w:rsidR="0041459F" w:rsidRPr="00375C4E" w:rsidRDefault="0041459F">
      <w:pPr>
        <w:rPr>
          <w:rFonts w:ascii="Century Schoolbook" w:hAnsi="Century Schoolbook"/>
          <w:sz w:val="24"/>
          <w:szCs w:val="24"/>
        </w:rPr>
      </w:pPr>
      <w:bookmarkStart w:id="0" w:name="_GoBack"/>
      <w:bookmarkEnd w:id="0"/>
    </w:p>
    <w:p w14:paraId="2157C6FB" w14:textId="34DA7EF4" w:rsidR="002562DF" w:rsidRPr="002562DF" w:rsidRDefault="002562DF" w:rsidP="002457B4">
      <w:pPr>
        <w:jc w:val="center"/>
        <w:rPr>
          <w:rFonts w:ascii="Century Schoolbook" w:hAnsi="Century Schoolbook"/>
          <w:b/>
          <w:bCs/>
          <w:color w:val="ED7D31" w:themeColor="accent2"/>
          <w:u w:val="single"/>
        </w:rPr>
      </w:pPr>
      <w:r w:rsidRPr="002562DF">
        <w:rPr>
          <w:rFonts w:ascii="Century Schoolbook" w:hAnsi="Century Schoolbook"/>
          <w:b/>
          <w:bCs/>
          <w:color w:val="ED7D31" w:themeColor="accent2"/>
          <w:u w:val="single"/>
        </w:rPr>
        <w:t xml:space="preserve">Practice Notes: </w:t>
      </w:r>
    </w:p>
    <w:p w14:paraId="75C78046" w14:textId="7065D749" w:rsidR="002562DF" w:rsidRPr="002562DF" w:rsidRDefault="002562DF" w:rsidP="002562DF">
      <w:pPr>
        <w:pStyle w:val="ListParagraph"/>
        <w:numPr>
          <w:ilvl w:val="0"/>
          <w:numId w:val="3"/>
        </w:numPr>
        <w:rPr>
          <w:rFonts w:ascii="Century Schoolbook" w:hAnsi="Century Schoolbook"/>
          <w:color w:val="ED7D31" w:themeColor="accent2"/>
        </w:rPr>
      </w:pPr>
      <w:r w:rsidRPr="002562DF">
        <w:rPr>
          <w:rFonts w:ascii="Century Schoolbook" w:hAnsi="Century Schoolbook"/>
          <w:color w:val="ED7D31" w:themeColor="accent2"/>
        </w:rPr>
        <w:t xml:space="preserve">This is a draft </w:t>
      </w:r>
      <w:r w:rsidR="00AC47C2">
        <w:rPr>
          <w:rFonts w:ascii="Century Schoolbook" w:hAnsi="Century Schoolbook"/>
          <w:color w:val="ED7D31" w:themeColor="accent2"/>
        </w:rPr>
        <w:t>motion seeking</w:t>
      </w:r>
      <w:r w:rsidR="00126BB9">
        <w:rPr>
          <w:rFonts w:ascii="Century Schoolbook" w:hAnsi="Century Schoolbook"/>
          <w:color w:val="ED7D31" w:themeColor="accent2"/>
        </w:rPr>
        <w:t xml:space="preserve"> appointment of </w:t>
      </w:r>
      <w:r w:rsidR="00AC47C2">
        <w:rPr>
          <w:rFonts w:ascii="Century Schoolbook" w:hAnsi="Century Schoolbook"/>
          <w:i/>
          <w:iCs/>
          <w:color w:val="ED7D31" w:themeColor="accent2"/>
        </w:rPr>
        <w:t xml:space="preserve">Padilla </w:t>
      </w:r>
      <w:r w:rsidR="00AC47C2">
        <w:rPr>
          <w:rFonts w:ascii="Century Schoolbook" w:hAnsi="Century Schoolbook"/>
          <w:color w:val="ED7D31" w:themeColor="accent2"/>
        </w:rPr>
        <w:t xml:space="preserve">(immigration) </w:t>
      </w:r>
      <w:r w:rsidR="00126BB9">
        <w:rPr>
          <w:rFonts w:ascii="Century Schoolbook" w:hAnsi="Century Schoolbook"/>
          <w:color w:val="ED7D31" w:themeColor="accent2"/>
        </w:rPr>
        <w:t xml:space="preserve">expert </w:t>
      </w:r>
      <w:r w:rsidR="00AC47C2">
        <w:rPr>
          <w:rFonts w:ascii="Century Schoolbook" w:hAnsi="Century Schoolbook"/>
          <w:color w:val="ED7D31" w:themeColor="accent2"/>
        </w:rPr>
        <w:t>for</w:t>
      </w:r>
      <w:r w:rsidR="00126BB9">
        <w:rPr>
          <w:rFonts w:ascii="Century Schoolbook" w:hAnsi="Century Schoolbook"/>
          <w:color w:val="ED7D31" w:themeColor="accent2"/>
        </w:rPr>
        <w:t xml:space="preserve"> cases involving indigent defendants. It is provided </w:t>
      </w:r>
      <w:r w:rsidRPr="002562DF">
        <w:rPr>
          <w:rFonts w:ascii="Century Schoolbook" w:hAnsi="Century Schoolbook"/>
          <w:color w:val="ED7D31" w:themeColor="accent2"/>
        </w:rPr>
        <w:t>for your convenience</w:t>
      </w:r>
      <w:r w:rsidR="00E93BAA">
        <w:rPr>
          <w:rFonts w:ascii="Century Schoolbook" w:hAnsi="Century Schoolbook"/>
          <w:color w:val="ED7D31" w:themeColor="accent2"/>
        </w:rPr>
        <w:t xml:space="preserve"> only</w:t>
      </w:r>
      <w:r w:rsidRPr="002562DF">
        <w:rPr>
          <w:rFonts w:ascii="Century Schoolbook" w:hAnsi="Century Schoolbook"/>
          <w:color w:val="ED7D31" w:themeColor="accent2"/>
        </w:rPr>
        <w:t>. Tailor it as you wish</w:t>
      </w:r>
      <w:r w:rsidR="00881564">
        <w:rPr>
          <w:rFonts w:ascii="Century Schoolbook" w:hAnsi="Century Schoolbook"/>
          <w:color w:val="ED7D31" w:themeColor="accent2"/>
        </w:rPr>
        <w:t>.</w:t>
      </w:r>
    </w:p>
    <w:p w14:paraId="3D453786" w14:textId="1A1D431C" w:rsidR="002562DF" w:rsidRPr="002562DF" w:rsidRDefault="002562DF" w:rsidP="002562DF">
      <w:pPr>
        <w:pStyle w:val="ListParagraph"/>
        <w:numPr>
          <w:ilvl w:val="0"/>
          <w:numId w:val="3"/>
        </w:numPr>
        <w:rPr>
          <w:rFonts w:ascii="Century Schoolbook" w:hAnsi="Century Schoolbook"/>
          <w:color w:val="ED7D31" w:themeColor="accent2"/>
        </w:rPr>
      </w:pPr>
      <w:r w:rsidRPr="002562DF">
        <w:rPr>
          <w:rFonts w:ascii="Century Schoolbook" w:hAnsi="Century Schoolbook"/>
          <w:color w:val="ED7D31" w:themeColor="accent2"/>
        </w:rPr>
        <w:t xml:space="preserve">You may wish to file this as an </w:t>
      </w:r>
      <w:r w:rsidRPr="002562DF">
        <w:rPr>
          <w:rFonts w:ascii="Century Schoolbook" w:hAnsi="Century Schoolbook"/>
          <w:i/>
          <w:iCs/>
          <w:color w:val="ED7D31" w:themeColor="accent2"/>
        </w:rPr>
        <w:t xml:space="preserve">ex parte </w:t>
      </w:r>
      <w:r w:rsidRPr="002562DF">
        <w:rPr>
          <w:rFonts w:ascii="Century Schoolbook" w:hAnsi="Century Schoolbook"/>
          <w:color w:val="ED7D31" w:themeColor="accent2"/>
        </w:rPr>
        <w:t>motion</w:t>
      </w:r>
      <w:r w:rsidR="00FA6DF0">
        <w:rPr>
          <w:rFonts w:ascii="Century Schoolbook" w:hAnsi="Century Schoolbook"/>
          <w:color w:val="ED7D31" w:themeColor="accent2"/>
        </w:rPr>
        <w:t xml:space="preserve"> </w:t>
      </w:r>
      <w:r w:rsidRPr="002562DF">
        <w:rPr>
          <w:rFonts w:ascii="Century Schoolbook" w:hAnsi="Century Schoolbook"/>
          <w:color w:val="ED7D31" w:themeColor="accent2"/>
        </w:rPr>
        <w:t xml:space="preserve">and/or mark </w:t>
      </w:r>
      <w:r>
        <w:rPr>
          <w:rFonts w:ascii="Century Schoolbook" w:hAnsi="Century Schoolbook"/>
          <w:color w:val="ED7D31" w:themeColor="accent2"/>
        </w:rPr>
        <w:t>it</w:t>
      </w:r>
      <w:r w:rsidRPr="002562DF">
        <w:rPr>
          <w:rFonts w:ascii="Century Schoolbook" w:hAnsi="Century Schoolbook"/>
          <w:color w:val="ED7D31" w:themeColor="accent2"/>
        </w:rPr>
        <w:t xml:space="preserve"> as containing sensitive data.</w:t>
      </w:r>
    </w:p>
    <w:p w14:paraId="53BBCA8F" w14:textId="515C7C3D" w:rsidR="002562DF" w:rsidRDefault="002562DF" w:rsidP="002562DF">
      <w:pPr>
        <w:pStyle w:val="ListParagraph"/>
        <w:numPr>
          <w:ilvl w:val="0"/>
          <w:numId w:val="3"/>
        </w:numPr>
        <w:rPr>
          <w:rFonts w:ascii="Century Schoolbook" w:hAnsi="Century Schoolbook"/>
          <w:color w:val="ED7D31" w:themeColor="accent2"/>
        </w:rPr>
      </w:pPr>
      <w:r w:rsidRPr="002562DF">
        <w:rPr>
          <w:rFonts w:ascii="Century Schoolbook" w:hAnsi="Century Schoolbook"/>
          <w:color w:val="ED7D31" w:themeColor="accent2"/>
        </w:rPr>
        <w:t>For reasons related to subsequent immigration litigation, it is recommended that you avoid stating in the filing your client’s citizenship</w:t>
      </w:r>
      <w:r>
        <w:rPr>
          <w:rFonts w:ascii="Century Schoolbook" w:hAnsi="Century Schoolbook"/>
          <w:color w:val="ED7D31" w:themeColor="accent2"/>
        </w:rPr>
        <w:t>/immigration</w:t>
      </w:r>
      <w:r w:rsidRPr="002562DF">
        <w:rPr>
          <w:rFonts w:ascii="Century Schoolbook" w:hAnsi="Century Schoolbook"/>
          <w:color w:val="ED7D31" w:themeColor="accent2"/>
        </w:rPr>
        <w:t xml:space="preserve"> status. </w:t>
      </w:r>
      <w:r>
        <w:rPr>
          <w:rFonts w:ascii="Century Schoolbook" w:hAnsi="Century Schoolbook"/>
          <w:color w:val="ED7D31" w:themeColor="accent2"/>
        </w:rPr>
        <w:t xml:space="preserve">Ideally the </w:t>
      </w:r>
      <w:r w:rsidRPr="002562DF">
        <w:rPr>
          <w:rFonts w:ascii="Century Schoolbook" w:hAnsi="Century Schoolbook"/>
          <w:color w:val="ED7D31" w:themeColor="accent2"/>
        </w:rPr>
        <w:t>text a</w:t>
      </w:r>
      <w:r w:rsidR="00FA6DF0">
        <w:rPr>
          <w:rFonts w:ascii="Century Schoolbook" w:hAnsi="Century Schoolbook"/>
          <w:color w:val="ED7D31" w:themeColor="accent2"/>
        </w:rPr>
        <w:t>ccompanying</w:t>
      </w:r>
      <w:r w:rsidRPr="002562DF">
        <w:rPr>
          <w:rFonts w:ascii="Century Schoolbook" w:hAnsi="Century Schoolbook"/>
          <w:color w:val="ED7D31" w:themeColor="accent2"/>
        </w:rPr>
        <w:t xml:space="preserve"> n4</w:t>
      </w:r>
      <w:r>
        <w:rPr>
          <w:rFonts w:ascii="Century Schoolbook" w:hAnsi="Century Schoolbook"/>
          <w:color w:val="ED7D31" w:themeColor="accent2"/>
        </w:rPr>
        <w:t xml:space="preserve"> (specifying that providing effective assistance to </w:t>
      </w:r>
      <w:r>
        <w:rPr>
          <w:rFonts w:ascii="Century Schoolbook" w:hAnsi="Century Schoolbook"/>
          <w:i/>
          <w:iCs/>
          <w:color w:val="ED7D31" w:themeColor="accent2"/>
        </w:rPr>
        <w:t xml:space="preserve">this </w:t>
      </w:r>
      <w:r>
        <w:rPr>
          <w:rFonts w:ascii="Century Schoolbook" w:hAnsi="Century Schoolbook"/>
          <w:color w:val="ED7D31" w:themeColor="accent2"/>
        </w:rPr>
        <w:t xml:space="preserve">client requires </w:t>
      </w:r>
      <w:r>
        <w:rPr>
          <w:rFonts w:ascii="Century Schoolbook" w:hAnsi="Century Schoolbook"/>
          <w:i/>
          <w:iCs/>
          <w:color w:val="ED7D31" w:themeColor="accent2"/>
        </w:rPr>
        <w:t xml:space="preserve">Padilla </w:t>
      </w:r>
      <w:r>
        <w:rPr>
          <w:rFonts w:ascii="Century Schoolbook" w:hAnsi="Century Schoolbook"/>
          <w:color w:val="ED7D31" w:themeColor="accent2"/>
        </w:rPr>
        <w:t>advice) would be sufficient.</w:t>
      </w:r>
      <w:r w:rsidRPr="002562DF">
        <w:rPr>
          <w:rFonts w:ascii="Century Schoolbook" w:hAnsi="Century Schoolbook"/>
          <w:color w:val="ED7D31" w:themeColor="accent2"/>
        </w:rPr>
        <w:t xml:space="preserve"> </w:t>
      </w:r>
    </w:p>
    <w:p w14:paraId="64170D25" w14:textId="77777777" w:rsidR="00F744CB" w:rsidRPr="00F744CB" w:rsidRDefault="00F744CB" w:rsidP="00F744CB">
      <w:pPr>
        <w:rPr>
          <w:rFonts w:ascii="Century Schoolbook" w:hAnsi="Century Schoolbook"/>
          <w:color w:val="ED7D31" w:themeColor="accent2"/>
        </w:rPr>
      </w:pPr>
    </w:p>
    <w:p w14:paraId="2B7F32E2" w14:textId="77777777" w:rsidR="002562DF" w:rsidRDefault="002562DF" w:rsidP="002457B4">
      <w:pPr>
        <w:jc w:val="center"/>
        <w:rPr>
          <w:rFonts w:ascii="Century Schoolbook" w:hAnsi="Century Schoolbook"/>
          <w:sz w:val="24"/>
          <w:szCs w:val="24"/>
        </w:rPr>
      </w:pPr>
    </w:p>
    <w:p w14:paraId="11BF017E" w14:textId="3F794CAC" w:rsidR="002457B4" w:rsidRPr="00375C4E" w:rsidRDefault="002457B4" w:rsidP="002457B4">
      <w:pPr>
        <w:jc w:val="center"/>
        <w:rPr>
          <w:rFonts w:ascii="Century Schoolbook" w:hAnsi="Century Schoolbook"/>
          <w:sz w:val="24"/>
          <w:szCs w:val="24"/>
        </w:rPr>
      </w:pPr>
      <w:r w:rsidRPr="00375C4E">
        <w:rPr>
          <w:rFonts w:ascii="Century Schoolbook" w:hAnsi="Century Schoolbook"/>
          <w:sz w:val="24"/>
          <w:szCs w:val="24"/>
        </w:rPr>
        <w:t>[CAUSE NUMBER]</w:t>
      </w:r>
    </w:p>
    <w:p w14:paraId="7EB8C3F2" w14:textId="1142058A" w:rsidR="002457B4" w:rsidRPr="00375C4E" w:rsidRDefault="002457B4" w:rsidP="002457B4">
      <w:pPr>
        <w:rPr>
          <w:rFonts w:ascii="Century Schoolbook" w:hAnsi="Century Schoolbook"/>
          <w:sz w:val="24"/>
          <w:szCs w:val="24"/>
        </w:rPr>
      </w:pPr>
    </w:p>
    <w:p w14:paraId="2CDB44E4" w14:textId="36D757EE" w:rsidR="002457B4" w:rsidRPr="00375C4E" w:rsidRDefault="002457B4" w:rsidP="002457B4">
      <w:pPr>
        <w:rPr>
          <w:rFonts w:ascii="Century Schoolbook" w:hAnsi="Century Schoolbook"/>
          <w:sz w:val="24"/>
          <w:szCs w:val="24"/>
        </w:rPr>
      </w:pPr>
      <w:r w:rsidRPr="00375C4E">
        <w:rPr>
          <w:rFonts w:ascii="Century Schoolbook" w:hAnsi="Century Schoolbook"/>
          <w:sz w:val="24"/>
          <w:szCs w:val="24"/>
        </w:rPr>
        <w:t>STATE OF TEXAS</w:t>
      </w:r>
      <w:r w:rsidRPr="00375C4E">
        <w:rPr>
          <w:rFonts w:ascii="Century Schoolbook" w:hAnsi="Century Schoolbook"/>
          <w:sz w:val="24"/>
          <w:szCs w:val="24"/>
        </w:rPr>
        <w:tab/>
      </w:r>
      <w:r w:rsidRPr="00375C4E">
        <w:rPr>
          <w:rFonts w:ascii="Century Schoolbook" w:hAnsi="Century Schoolbook"/>
          <w:sz w:val="24"/>
          <w:szCs w:val="24"/>
        </w:rPr>
        <w:tab/>
      </w:r>
      <w:r w:rsidRPr="00375C4E">
        <w:rPr>
          <w:rFonts w:ascii="Century Schoolbook" w:hAnsi="Century Schoolbook"/>
          <w:sz w:val="24"/>
          <w:szCs w:val="24"/>
        </w:rPr>
        <w:tab/>
      </w:r>
      <w:r w:rsidRPr="00375C4E">
        <w:rPr>
          <w:rFonts w:ascii="Century Schoolbook" w:hAnsi="Century Schoolbook"/>
          <w:sz w:val="24"/>
          <w:szCs w:val="24"/>
        </w:rPr>
        <w:tab/>
        <w:t>)</w:t>
      </w:r>
      <w:r w:rsidRPr="00375C4E">
        <w:rPr>
          <w:rFonts w:ascii="Century Schoolbook" w:hAnsi="Century Schoolbook"/>
          <w:sz w:val="24"/>
          <w:szCs w:val="24"/>
        </w:rPr>
        <w:tab/>
      </w:r>
    </w:p>
    <w:p w14:paraId="3FA5D594" w14:textId="1AE598A4" w:rsidR="002457B4" w:rsidRPr="00375C4E" w:rsidRDefault="002457B4" w:rsidP="002457B4">
      <w:pPr>
        <w:rPr>
          <w:rFonts w:ascii="Century Schoolbook" w:hAnsi="Century Schoolbook"/>
          <w:sz w:val="24"/>
          <w:szCs w:val="24"/>
        </w:rPr>
      </w:pPr>
      <w:r w:rsidRPr="00375C4E">
        <w:rPr>
          <w:rFonts w:ascii="Century Schoolbook" w:hAnsi="Century Schoolbook"/>
          <w:sz w:val="24"/>
          <w:szCs w:val="24"/>
        </w:rPr>
        <w:tab/>
      </w:r>
      <w:r w:rsidRPr="00375C4E">
        <w:rPr>
          <w:rFonts w:ascii="Century Schoolbook" w:hAnsi="Century Schoolbook"/>
          <w:sz w:val="24"/>
          <w:szCs w:val="24"/>
        </w:rPr>
        <w:tab/>
      </w:r>
      <w:r w:rsidRPr="00375C4E">
        <w:rPr>
          <w:rFonts w:ascii="Century Schoolbook" w:hAnsi="Century Schoolbook"/>
          <w:sz w:val="24"/>
          <w:szCs w:val="24"/>
        </w:rPr>
        <w:tab/>
      </w:r>
      <w:r w:rsidRPr="00375C4E">
        <w:rPr>
          <w:rFonts w:ascii="Century Schoolbook" w:hAnsi="Century Schoolbook"/>
          <w:sz w:val="24"/>
          <w:szCs w:val="24"/>
        </w:rPr>
        <w:tab/>
      </w:r>
      <w:r w:rsidRPr="00375C4E">
        <w:rPr>
          <w:rFonts w:ascii="Century Schoolbook" w:hAnsi="Century Schoolbook"/>
          <w:sz w:val="24"/>
          <w:szCs w:val="24"/>
        </w:rPr>
        <w:tab/>
      </w:r>
      <w:r w:rsidRPr="00375C4E">
        <w:rPr>
          <w:rFonts w:ascii="Century Schoolbook" w:hAnsi="Century Schoolbook"/>
          <w:sz w:val="24"/>
          <w:szCs w:val="24"/>
        </w:rPr>
        <w:tab/>
        <w:t>)</w:t>
      </w:r>
      <w:r w:rsidRPr="00375C4E">
        <w:rPr>
          <w:rFonts w:ascii="Century Schoolbook" w:hAnsi="Century Schoolbook"/>
          <w:sz w:val="24"/>
          <w:szCs w:val="24"/>
        </w:rPr>
        <w:tab/>
        <w:t>In the [COURT]</w:t>
      </w:r>
    </w:p>
    <w:p w14:paraId="79E4706E" w14:textId="7304D0F7" w:rsidR="002457B4" w:rsidRPr="00375C4E" w:rsidRDefault="002457B4" w:rsidP="002457B4">
      <w:pPr>
        <w:rPr>
          <w:rFonts w:ascii="Century Schoolbook" w:hAnsi="Century Schoolbook"/>
          <w:sz w:val="24"/>
          <w:szCs w:val="24"/>
        </w:rPr>
      </w:pPr>
      <w:r w:rsidRPr="00375C4E">
        <w:rPr>
          <w:rFonts w:ascii="Century Schoolbook" w:hAnsi="Century Schoolbook"/>
          <w:sz w:val="24"/>
          <w:szCs w:val="24"/>
        </w:rPr>
        <w:t xml:space="preserve">vs. </w:t>
      </w:r>
      <w:r w:rsidRPr="00375C4E">
        <w:rPr>
          <w:rFonts w:ascii="Century Schoolbook" w:hAnsi="Century Schoolbook"/>
          <w:sz w:val="24"/>
          <w:szCs w:val="24"/>
        </w:rPr>
        <w:tab/>
      </w:r>
      <w:r w:rsidRPr="00375C4E">
        <w:rPr>
          <w:rFonts w:ascii="Century Schoolbook" w:hAnsi="Century Schoolbook"/>
          <w:sz w:val="24"/>
          <w:szCs w:val="24"/>
        </w:rPr>
        <w:tab/>
      </w:r>
      <w:r w:rsidRPr="00375C4E">
        <w:rPr>
          <w:rFonts w:ascii="Century Schoolbook" w:hAnsi="Century Schoolbook"/>
          <w:sz w:val="24"/>
          <w:szCs w:val="24"/>
        </w:rPr>
        <w:tab/>
      </w:r>
      <w:r w:rsidRPr="00375C4E">
        <w:rPr>
          <w:rFonts w:ascii="Century Schoolbook" w:hAnsi="Century Schoolbook"/>
          <w:sz w:val="24"/>
          <w:szCs w:val="24"/>
        </w:rPr>
        <w:tab/>
      </w:r>
      <w:r w:rsidRPr="00375C4E">
        <w:rPr>
          <w:rFonts w:ascii="Century Schoolbook" w:hAnsi="Century Schoolbook"/>
          <w:sz w:val="24"/>
          <w:szCs w:val="24"/>
        </w:rPr>
        <w:tab/>
      </w:r>
      <w:r w:rsidRPr="00375C4E">
        <w:rPr>
          <w:rFonts w:ascii="Century Schoolbook" w:hAnsi="Century Schoolbook"/>
          <w:sz w:val="24"/>
          <w:szCs w:val="24"/>
        </w:rPr>
        <w:tab/>
        <w:t>)</w:t>
      </w:r>
      <w:r w:rsidRPr="00375C4E">
        <w:rPr>
          <w:rFonts w:ascii="Century Schoolbook" w:hAnsi="Century Schoolbook"/>
          <w:sz w:val="24"/>
          <w:szCs w:val="24"/>
        </w:rPr>
        <w:tab/>
        <w:t>[COUNTY], Texas</w:t>
      </w:r>
    </w:p>
    <w:p w14:paraId="2FA8872E" w14:textId="33EE81A5" w:rsidR="002457B4" w:rsidRPr="00375C4E" w:rsidRDefault="002457B4" w:rsidP="002457B4">
      <w:pPr>
        <w:rPr>
          <w:rFonts w:ascii="Century Schoolbook" w:hAnsi="Century Schoolbook"/>
          <w:sz w:val="24"/>
          <w:szCs w:val="24"/>
        </w:rPr>
      </w:pPr>
      <w:r w:rsidRPr="00375C4E">
        <w:rPr>
          <w:rFonts w:ascii="Century Schoolbook" w:hAnsi="Century Schoolbook"/>
          <w:sz w:val="24"/>
          <w:szCs w:val="24"/>
        </w:rPr>
        <w:tab/>
      </w:r>
      <w:r w:rsidRPr="00375C4E">
        <w:rPr>
          <w:rFonts w:ascii="Century Schoolbook" w:hAnsi="Century Schoolbook"/>
          <w:sz w:val="24"/>
          <w:szCs w:val="24"/>
        </w:rPr>
        <w:tab/>
      </w:r>
      <w:r w:rsidRPr="00375C4E">
        <w:rPr>
          <w:rFonts w:ascii="Century Schoolbook" w:hAnsi="Century Schoolbook"/>
          <w:sz w:val="24"/>
          <w:szCs w:val="24"/>
        </w:rPr>
        <w:tab/>
      </w:r>
      <w:r w:rsidRPr="00375C4E">
        <w:rPr>
          <w:rFonts w:ascii="Century Schoolbook" w:hAnsi="Century Schoolbook"/>
          <w:sz w:val="24"/>
          <w:szCs w:val="24"/>
        </w:rPr>
        <w:tab/>
      </w:r>
      <w:r w:rsidRPr="00375C4E">
        <w:rPr>
          <w:rFonts w:ascii="Century Schoolbook" w:hAnsi="Century Schoolbook"/>
          <w:sz w:val="24"/>
          <w:szCs w:val="24"/>
        </w:rPr>
        <w:tab/>
      </w:r>
      <w:r w:rsidRPr="00375C4E">
        <w:rPr>
          <w:rFonts w:ascii="Century Schoolbook" w:hAnsi="Century Schoolbook"/>
          <w:sz w:val="24"/>
          <w:szCs w:val="24"/>
        </w:rPr>
        <w:tab/>
        <w:t>)</w:t>
      </w:r>
    </w:p>
    <w:p w14:paraId="453384FA" w14:textId="09DEC161" w:rsidR="002457B4" w:rsidRPr="00375C4E" w:rsidRDefault="002457B4" w:rsidP="002457B4">
      <w:pPr>
        <w:rPr>
          <w:rFonts w:ascii="Century Schoolbook" w:hAnsi="Century Schoolbook"/>
          <w:sz w:val="24"/>
          <w:szCs w:val="24"/>
        </w:rPr>
      </w:pPr>
      <w:r w:rsidRPr="00375C4E">
        <w:rPr>
          <w:rFonts w:ascii="Century Schoolbook" w:hAnsi="Century Schoolbook"/>
          <w:sz w:val="24"/>
          <w:szCs w:val="24"/>
        </w:rPr>
        <w:t>CLIENT</w:t>
      </w:r>
      <w:r w:rsidRPr="00375C4E">
        <w:rPr>
          <w:rFonts w:ascii="Century Schoolbook" w:hAnsi="Century Schoolbook"/>
          <w:sz w:val="24"/>
          <w:szCs w:val="24"/>
        </w:rPr>
        <w:tab/>
      </w:r>
      <w:r w:rsidRPr="00375C4E">
        <w:rPr>
          <w:rFonts w:ascii="Century Schoolbook" w:hAnsi="Century Schoolbook"/>
          <w:sz w:val="24"/>
          <w:szCs w:val="24"/>
        </w:rPr>
        <w:tab/>
      </w:r>
      <w:r w:rsidRPr="00375C4E">
        <w:rPr>
          <w:rFonts w:ascii="Century Schoolbook" w:hAnsi="Century Schoolbook"/>
          <w:sz w:val="24"/>
          <w:szCs w:val="24"/>
        </w:rPr>
        <w:tab/>
      </w:r>
      <w:r w:rsidRPr="00375C4E">
        <w:rPr>
          <w:rFonts w:ascii="Century Schoolbook" w:hAnsi="Century Schoolbook"/>
          <w:sz w:val="24"/>
          <w:szCs w:val="24"/>
        </w:rPr>
        <w:tab/>
      </w:r>
      <w:r w:rsidRPr="00375C4E">
        <w:rPr>
          <w:rFonts w:ascii="Century Schoolbook" w:hAnsi="Century Schoolbook"/>
          <w:sz w:val="24"/>
          <w:szCs w:val="24"/>
        </w:rPr>
        <w:tab/>
        <w:t>)</w:t>
      </w:r>
    </w:p>
    <w:p w14:paraId="41AD513F" w14:textId="77777777" w:rsidR="002457B4" w:rsidRPr="00375C4E" w:rsidRDefault="002457B4" w:rsidP="002457B4">
      <w:pPr>
        <w:rPr>
          <w:rFonts w:ascii="Century Schoolbook" w:hAnsi="Century Schoolbook"/>
          <w:sz w:val="24"/>
          <w:szCs w:val="24"/>
        </w:rPr>
      </w:pPr>
    </w:p>
    <w:p w14:paraId="720BAD43" w14:textId="7186C4EA" w:rsidR="002457B4" w:rsidRPr="00375C4E" w:rsidRDefault="002457B4" w:rsidP="002457B4">
      <w:pPr>
        <w:jc w:val="center"/>
        <w:rPr>
          <w:rFonts w:ascii="Century Schoolbook" w:hAnsi="Century Schoolbook"/>
          <w:b/>
          <w:bCs/>
          <w:sz w:val="24"/>
          <w:szCs w:val="24"/>
          <w:u w:val="single"/>
        </w:rPr>
      </w:pPr>
      <w:r w:rsidRPr="00375C4E">
        <w:rPr>
          <w:rFonts w:ascii="Century Schoolbook" w:hAnsi="Century Schoolbook"/>
          <w:b/>
          <w:bCs/>
          <w:sz w:val="24"/>
          <w:szCs w:val="24"/>
          <w:u w:val="single"/>
        </w:rPr>
        <w:t xml:space="preserve">MOTION FOR </w:t>
      </w:r>
      <w:r w:rsidR="00F446E9">
        <w:rPr>
          <w:rFonts w:ascii="Century Schoolbook" w:hAnsi="Century Schoolbook"/>
          <w:b/>
          <w:bCs/>
          <w:sz w:val="24"/>
          <w:szCs w:val="24"/>
          <w:u w:val="single"/>
        </w:rPr>
        <w:t>APPOINTMENT OF DEFENSE EXPERT</w:t>
      </w:r>
    </w:p>
    <w:p w14:paraId="4E978178" w14:textId="1876654C" w:rsidR="00B44C59" w:rsidRPr="00FA6DF0" w:rsidRDefault="00967859" w:rsidP="00FA6DF0">
      <w:pPr>
        <w:ind w:firstLine="72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CLIENT, </w:t>
      </w:r>
      <w:r w:rsidR="00AD2E4B">
        <w:rPr>
          <w:rFonts w:ascii="Century Schoolbook" w:hAnsi="Century Schoolbook"/>
          <w:sz w:val="24"/>
          <w:szCs w:val="24"/>
        </w:rPr>
        <w:t>Defendant in this cause</w:t>
      </w:r>
      <w:r>
        <w:rPr>
          <w:rFonts w:ascii="Century Schoolbook" w:hAnsi="Century Schoolbook"/>
          <w:sz w:val="24"/>
          <w:szCs w:val="24"/>
        </w:rPr>
        <w:t>,</w:t>
      </w:r>
      <w:r w:rsidR="00AD2E4B">
        <w:rPr>
          <w:rFonts w:ascii="Century Schoolbook" w:hAnsi="Century Schoolbook"/>
          <w:sz w:val="24"/>
          <w:szCs w:val="24"/>
        </w:rPr>
        <w:t xml:space="preserve"> </w:t>
      </w:r>
      <w:r w:rsidR="00AC7788" w:rsidRPr="00375C4E">
        <w:rPr>
          <w:rFonts w:ascii="Century Schoolbook" w:hAnsi="Century Schoolbook"/>
          <w:sz w:val="24"/>
          <w:szCs w:val="24"/>
        </w:rPr>
        <w:t>moves th</w:t>
      </w:r>
      <w:r w:rsidR="00B376E6">
        <w:rPr>
          <w:rFonts w:ascii="Century Schoolbook" w:hAnsi="Century Schoolbook"/>
          <w:sz w:val="24"/>
          <w:szCs w:val="24"/>
        </w:rPr>
        <w:t>e</w:t>
      </w:r>
      <w:r w:rsidR="00AC7788" w:rsidRPr="00375C4E">
        <w:rPr>
          <w:rFonts w:ascii="Century Schoolbook" w:hAnsi="Century Schoolbook"/>
          <w:sz w:val="24"/>
          <w:szCs w:val="24"/>
        </w:rPr>
        <w:t xml:space="preserve"> Court to </w:t>
      </w:r>
      <w:r w:rsidR="00001AA9">
        <w:rPr>
          <w:rFonts w:ascii="Century Schoolbook" w:hAnsi="Century Schoolbook"/>
          <w:sz w:val="24"/>
          <w:szCs w:val="24"/>
        </w:rPr>
        <w:t xml:space="preserve">appoint an immigration expert </w:t>
      </w:r>
      <w:r w:rsidR="00C86F05">
        <w:rPr>
          <w:rFonts w:ascii="Century Schoolbook" w:hAnsi="Century Schoolbook"/>
          <w:sz w:val="24"/>
          <w:szCs w:val="24"/>
        </w:rPr>
        <w:t xml:space="preserve">to assist </w:t>
      </w:r>
      <w:r w:rsidR="00D56573">
        <w:rPr>
          <w:rFonts w:ascii="Century Schoolbook" w:hAnsi="Century Schoolbook"/>
          <w:sz w:val="24"/>
          <w:szCs w:val="24"/>
        </w:rPr>
        <w:t>undersigned</w:t>
      </w:r>
      <w:r w:rsidR="002D0BD7">
        <w:rPr>
          <w:rFonts w:ascii="Century Schoolbook" w:hAnsi="Century Schoolbook"/>
          <w:sz w:val="24"/>
          <w:szCs w:val="24"/>
        </w:rPr>
        <w:t xml:space="preserve"> counsel</w:t>
      </w:r>
      <w:r w:rsidR="00C86F05">
        <w:rPr>
          <w:rFonts w:ascii="Century Schoolbook" w:hAnsi="Century Schoolbook"/>
          <w:sz w:val="24"/>
          <w:szCs w:val="24"/>
        </w:rPr>
        <w:t xml:space="preserve"> in this case and, i</w:t>
      </w:r>
      <w:r w:rsidR="00FE246A">
        <w:rPr>
          <w:rFonts w:ascii="Century Schoolbook" w:hAnsi="Century Schoolbook"/>
          <w:sz w:val="24"/>
          <w:szCs w:val="24"/>
        </w:rPr>
        <w:t>n support thereof, would show the following:</w:t>
      </w:r>
    </w:p>
    <w:p w14:paraId="11BEC6DA" w14:textId="307EC21F" w:rsidR="00B44C59" w:rsidRDefault="00610856" w:rsidP="00B44C59">
      <w:pPr>
        <w:ind w:firstLine="720"/>
        <w:rPr>
          <w:rFonts w:ascii="Century Schoolbook" w:hAnsi="Century Schoolbook"/>
          <w:sz w:val="24"/>
          <w:szCs w:val="24"/>
        </w:rPr>
      </w:pPr>
      <w:r w:rsidRPr="00375C4E">
        <w:rPr>
          <w:rFonts w:ascii="Century Schoolbook" w:hAnsi="Century Schoolbook"/>
          <w:sz w:val="24"/>
          <w:szCs w:val="24"/>
        </w:rPr>
        <w:t xml:space="preserve">The </w:t>
      </w:r>
      <w:r w:rsidR="00890C24" w:rsidRPr="00375C4E">
        <w:rPr>
          <w:rFonts w:ascii="Century Schoolbook" w:hAnsi="Century Schoolbook"/>
          <w:sz w:val="24"/>
          <w:szCs w:val="24"/>
        </w:rPr>
        <w:t>“basic tools of an adequate defense” must “be provided to those defendants who cannot afford to pay for them.”</w:t>
      </w:r>
      <w:r w:rsidR="00F52143" w:rsidRPr="00375C4E">
        <w:rPr>
          <w:rStyle w:val="FootnoteReference"/>
          <w:rFonts w:ascii="Century Schoolbook" w:hAnsi="Century Schoolbook"/>
          <w:sz w:val="24"/>
          <w:szCs w:val="24"/>
        </w:rPr>
        <w:footnoteReference w:id="2"/>
      </w:r>
      <w:r w:rsidR="00890C24" w:rsidRPr="00375C4E">
        <w:rPr>
          <w:rFonts w:ascii="Century Schoolbook" w:hAnsi="Century Schoolbook"/>
          <w:sz w:val="24"/>
          <w:szCs w:val="24"/>
        </w:rPr>
        <w:t xml:space="preserve"> </w:t>
      </w:r>
      <w:r w:rsidR="00AC7788" w:rsidRPr="00375C4E">
        <w:rPr>
          <w:rFonts w:ascii="Century Schoolbook" w:hAnsi="Century Schoolbook"/>
          <w:sz w:val="24"/>
          <w:szCs w:val="24"/>
        </w:rPr>
        <w:t>Undersigned counsel is appointed to represent CLIENT, who is indigent</w:t>
      </w:r>
      <w:r w:rsidR="00C86F05">
        <w:rPr>
          <w:rStyle w:val="FootnoteReference"/>
          <w:rFonts w:ascii="Century Schoolbook" w:hAnsi="Century Schoolbook"/>
          <w:sz w:val="24"/>
          <w:szCs w:val="24"/>
        </w:rPr>
        <w:footnoteReference w:id="3"/>
      </w:r>
      <w:r w:rsidR="005B40C8" w:rsidRPr="00375C4E">
        <w:rPr>
          <w:rFonts w:ascii="Century Schoolbook" w:hAnsi="Century Schoolbook"/>
          <w:sz w:val="24"/>
          <w:szCs w:val="24"/>
        </w:rPr>
        <w:t xml:space="preserve"> and cannot afford expert fees</w:t>
      </w:r>
      <w:r w:rsidR="00AC7788" w:rsidRPr="00375C4E">
        <w:rPr>
          <w:rFonts w:ascii="Century Schoolbook" w:hAnsi="Century Schoolbook"/>
          <w:sz w:val="24"/>
          <w:szCs w:val="24"/>
        </w:rPr>
        <w:t>.</w:t>
      </w:r>
      <w:r w:rsidR="00B44C59">
        <w:rPr>
          <w:rStyle w:val="FootnoteReference"/>
          <w:rFonts w:ascii="Century Schoolbook" w:hAnsi="Century Schoolbook"/>
          <w:sz w:val="24"/>
          <w:szCs w:val="24"/>
        </w:rPr>
        <w:footnoteReference w:id="4"/>
      </w:r>
      <w:r w:rsidRPr="00375C4E">
        <w:rPr>
          <w:rFonts w:ascii="Century Schoolbook" w:hAnsi="Century Schoolbook"/>
          <w:sz w:val="24"/>
          <w:szCs w:val="24"/>
        </w:rPr>
        <w:t xml:space="preserve"> </w:t>
      </w:r>
    </w:p>
    <w:p w14:paraId="49E9BB86" w14:textId="77777777" w:rsidR="009C1F22" w:rsidRDefault="00AC7788" w:rsidP="009C1F22">
      <w:pPr>
        <w:ind w:firstLine="720"/>
        <w:rPr>
          <w:rFonts w:ascii="Century Schoolbook" w:hAnsi="Century Schoolbook"/>
          <w:sz w:val="24"/>
          <w:szCs w:val="24"/>
        </w:rPr>
      </w:pPr>
      <w:r w:rsidRPr="00375C4E">
        <w:rPr>
          <w:rFonts w:ascii="Century Schoolbook" w:hAnsi="Century Schoolbook"/>
          <w:sz w:val="24"/>
          <w:szCs w:val="24"/>
        </w:rPr>
        <w:lastRenderedPageBreak/>
        <w:t>Providing effective assistance of counsel to CLIENT requires advising him/her of the immigration consequences of a disposition of this matter.</w:t>
      </w:r>
      <w:r w:rsidR="00FA10C6" w:rsidRPr="00375C4E">
        <w:rPr>
          <w:rStyle w:val="FootnoteReference"/>
          <w:rFonts w:ascii="Century Schoolbook" w:hAnsi="Century Schoolbook"/>
          <w:sz w:val="24"/>
          <w:szCs w:val="24"/>
        </w:rPr>
        <w:footnoteReference w:id="5"/>
      </w:r>
      <w:r w:rsidRPr="00375C4E">
        <w:rPr>
          <w:rFonts w:ascii="Century Schoolbook" w:hAnsi="Century Schoolbook"/>
          <w:i/>
          <w:iCs/>
          <w:sz w:val="24"/>
          <w:szCs w:val="24"/>
        </w:rPr>
        <w:t xml:space="preserve"> </w:t>
      </w:r>
      <w:r w:rsidRPr="00375C4E">
        <w:rPr>
          <w:rFonts w:ascii="Century Schoolbook" w:hAnsi="Century Schoolbook"/>
          <w:sz w:val="24"/>
          <w:szCs w:val="24"/>
        </w:rPr>
        <w:t xml:space="preserve">Advice provided under </w:t>
      </w:r>
      <w:r w:rsidRPr="00375C4E">
        <w:rPr>
          <w:rFonts w:ascii="Century Schoolbook" w:hAnsi="Century Schoolbook"/>
          <w:i/>
          <w:iCs/>
          <w:sz w:val="24"/>
          <w:szCs w:val="24"/>
        </w:rPr>
        <w:t>Padilla</w:t>
      </w:r>
      <w:r w:rsidR="00827656" w:rsidRPr="00375C4E">
        <w:rPr>
          <w:rFonts w:ascii="Century Schoolbook" w:hAnsi="Century Schoolbook"/>
          <w:i/>
          <w:iCs/>
          <w:sz w:val="24"/>
          <w:szCs w:val="24"/>
        </w:rPr>
        <w:t xml:space="preserve"> </w:t>
      </w:r>
      <w:r w:rsidRPr="00375C4E">
        <w:rPr>
          <w:rFonts w:ascii="Century Schoolbook" w:hAnsi="Century Schoolbook"/>
          <w:sz w:val="24"/>
          <w:szCs w:val="24"/>
        </w:rPr>
        <w:t>must be specific and tailored to the client’s circumstances.</w:t>
      </w:r>
      <w:r w:rsidR="00DA7F8B" w:rsidRPr="00375C4E">
        <w:rPr>
          <w:rStyle w:val="FootnoteReference"/>
          <w:rFonts w:ascii="Century Schoolbook" w:hAnsi="Century Schoolbook"/>
          <w:sz w:val="24"/>
          <w:szCs w:val="24"/>
        </w:rPr>
        <w:footnoteReference w:id="6"/>
      </w:r>
      <w:r w:rsidR="00DA7F8B" w:rsidRPr="00375C4E">
        <w:rPr>
          <w:rFonts w:ascii="Century Schoolbook" w:hAnsi="Century Schoolbook"/>
          <w:sz w:val="24"/>
          <w:szCs w:val="24"/>
        </w:rPr>
        <w:t xml:space="preserve"> Statements in plea papers and the trial court admonishment do not satisfy the demands of </w:t>
      </w:r>
      <w:r w:rsidR="00DA7F8B" w:rsidRPr="00375C4E">
        <w:rPr>
          <w:rFonts w:ascii="Century Schoolbook" w:hAnsi="Century Schoolbook"/>
          <w:i/>
          <w:iCs/>
          <w:sz w:val="24"/>
          <w:szCs w:val="24"/>
        </w:rPr>
        <w:t>Padilla</w:t>
      </w:r>
      <w:r w:rsidR="00DA7F8B" w:rsidRPr="00375C4E">
        <w:rPr>
          <w:rFonts w:ascii="Century Schoolbook" w:hAnsi="Century Schoolbook"/>
          <w:sz w:val="24"/>
          <w:szCs w:val="24"/>
        </w:rPr>
        <w:t>.</w:t>
      </w:r>
      <w:r w:rsidR="00DA7F8B" w:rsidRPr="00375C4E">
        <w:rPr>
          <w:rStyle w:val="FootnoteReference"/>
          <w:rFonts w:ascii="Century Schoolbook" w:hAnsi="Century Schoolbook"/>
          <w:sz w:val="24"/>
          <w:szCs w:val="24"/>
        </w:rPr>
        <w:footnoteReference w:id="7"/>
      </w:r>
      <w:r w:rsidRPr="00375C4E">
        <w:rPr>
          <w:rFonts w:ascii="Century Schoolbook" w:hAnsi="Century Schoolbook"/>
          <w:sz w:val="24"/>
          <w:szCs w:val="24"/>
        </w:rPr>
        <w:t xml:space="preserve"> </w:t>
      </w:r>
    </w:p>
    <w:p w14:paraId="66E46FF8" w14:textId="77777777" w:rsidR="009C1F22" w:rsidRDefault="00013B9E" w:rsidP="009C1F22">
      <w:pPr>
        <w:ind w:firstLine="720"/>
        <w:rPr>
          <w:rFonts w:ascii="Century Schoolbook" w:hAnsi="Century Schoolbook"/>
          <w:sz w:val="24"/>
          <w:szCs w:val="24"/>
        </w:rPr>
      </w:pPr>
      <w:r w:rsidRPr="00375C4E">
        <w:rPr>
          <w:rFonts w:ascii="Century Schoolbook" w:hAnsi="Century Schoolbook"/>
          <w:sz w:val="24"/>
          <w:szCs w:val="24"/>
        </w:rPr>
        <w:t>Recognizing that defense lawyers are not immigration law specialists, the Court of Criminal Appeals “anticipate[s] and expect[s] . . . that criminal defense lawyers will rely on their immigration-law counterparts” in order to provide effective assistance of counsel.</w:t>
      </w:r>
      <w:r>
        <w:rPr>
          <w:rStyle w:val="FootnoteReference"/>
          <w:rFonts w:ascii="Century Schoolbook" w:hAnsi="Century Schoolbook"/>
          <w:sz w:val="24"/>
          <w:szCs w:val="24"/>
        </w:rPr>
        <w:footnoteReference w:id="8"/>
      </w:r>
      <w:r w:rsidRPr="00375C4E">
        <w:rPr>
          <w:rFonts w:ascii="Century Schoolbook" w:hAnsi="Century Schoolbook"/>
          <w:sz w:val="24"/>
          <w:szCs w:val="24"/>
        </w:rPr>
        <w:t xml:space="preserve"> This motion seeks this Court’s authorization to do just that.</w:t>
      </w:r>
    </w:p>
    <w:p w14:paraId="13CDC3D8" w14:textId="77777777" w:rsidR="009C1F22" w:rsidRDefault="006D032D" w:rsidP="009C1F22">
      <w:pPr>
        <w:ind w:firstLine="72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Finally, </w:t>
      </w:r>
      <w:r>
        <w:rPr>
          <w:rFonts w:ascii="Century Schoolbook" w:hAnsi="Century Schoolbook"/>
          <w:i/>
          <w:iCs/>
          <w:sz w:val="24"/>
          <w:szCs w:val="24"/>
        </w:rPr>
        <w:t xml:space="preserve">Padilla </w:t>
      </w:r>
      <w:r>
        <w:rPr>
          <w:rFonts w:ascii="Century Schoolbook" w:hAnsi="Century Schoolbook"/>
          <w:sz w:val="24"/>
          <w:szCs w:val="24"/>
        </w:rPr>
        <w:t>recognizes that “informed consideration” of immigration consequences will benefit the defense and prosecution during the plea-bargaining process, allowing both sides to “reach agreements that better satisfy the interests of both parties.”</w:t>
      </w:r>
      <w:r w:rsidR="003A2412">
        <w:rPr>
          <w:rStyle w:val="FootnoteReference"/>
          <w:rFonts w:ascii="Century Schoolbook" w:hAnsi="Century Schoolbook"/>
          <w:sz w:val="24"/>
          <w:szCs w:val="24"/>
        </w:rPr>
        <w:footnoteReference w:id="9"/>
      </w:r>
      <w:r>
        <w:rPr>
          <w:rFonts w:ascii="Century Schoolbook" w:hAnsi="Century Schoolbook"/>
          <w:sz w:val="24"/>
          <w:szCs w:val="24"/>
        </w:rPr>
        <w:t xml:space="preserve"> </w:t>
      </w:r>
      <w:r w:rsidR="00116418">
        <w:rPr>
          <w:rFonts w:ascii="Century Schoolbook" w:hAnsi="Century Schoolbook"/>
          <w:sz w:val="24"/>
          <w:szCs w:val="24"/>
        </w:rPr>
        <w:t xml:space="preserve">To </w:t>
      </w:r>
      <w:r w:rsidR="003A2412">
        <w:rPr>
          <w:rFonts w:ascii="Century Schoolbook" w:hAnsi="Century Schoolbook"/>
          <w:sz w:val="24"/>
          <w:szCs w:val="24"/>
        </w:rPr>
        <w:t xml:space="preserve">so </w:t>
      </w:r>
      <w:r w:rsidR="00116418">
        <w:rPr>
          <w:rFonts w:ascii="Century Schoolbook" w:hAnsi="Century Schoolbook"/>
          <w:sz w:val="24"/>
          <w:szCs w:val="24"/>
        </w:rPr>
        <w:t>b</w:t>
      </w:r>
      <w:r w:rsidR="002C4D1C">
        <w:rPr>
          <w:rFonts w:ascii="Century Schoolbook" w:hAnsi="Century Schoolbook"/>
          <w:sz w:val="24"/>
          <w:szCs w:val="24"/>
        </w:rPr>
        <w:t>ring immigration consequences into negotiation</w:t>
      </w:r>
      <w:r w:rsidR="00116418">
        <w:rPr>
          <w:rFonts w:ascii="Century Schoolbook" w:hAnsi="Century Schoolbook"/>
          <w:sz w:val="24"/>
          <w:szCs w:val="24"/>
        </w:rPr>
        <w:t xml:space="preserve">s, </w:t>
      </w:r>
      <w:r w:rsidR="001E67AF">
        <w:rPr>
          <w:rFonts w:ascii="Century Schoolbook" w:hAnsi="Century Schoolbook"/>
          <w:sz w:val="24"/>
          <w:szCs w:val="24"/>
        </w:rPr>
        <w:t>C</w:t>
      </w:r>
      <w:r w:rsidR="00116418">
        <w:rPr>
          <w:rFonts w:ascii="Century Schoolbook" w:hAnsi="Century Schoolbook"/>
          <w:sz w:val="24"/>
          <w:szCs w:val="24"/>
        </w:rPr>
        <w:t>ounsel must first understand wha</w:t>
      </w:r>
      <w:r w:rsidR="002C4D1C">
        <w:rPr>
          <w:rFonts w:ascii="Century Schoolbook" w:hAnsi="Century Schoolbook"/>
          <w:sz w:val="24"/>
          <w:szCs w:val="24"/>
        </w:rPr>
        <w:t xml:space="preserve">t those consequences are. </w:t>
      </w:r>
    </w:p>
    <w:p w14:paraId="27438B67" w14:textId="77777777" w:rsidR="009C1F22" w:rsidRDefault="00595CC7" w:rsidP="009C1F22">
      <w:pPr>
        <w:ind w:firstLine="720"/>
        <w:rPr>
          <w:rFonts w:ascii="Century Schoolbook" w:hAnsi="Century Schoolbook"/>
          <w:sz w:val="24"/>
          <w:szCs w:val="24"/>
        </w:rPr>
      </w:pPr>
      <w:r w:rsidRPr="00375C4E">
        <w:rPr>
          <w:rFonts w:ascii="Century Schoolbook" w:hAnsi="Century Schoolbook" w:cs="Times New Roman"/>
          <w:sz w:val="24"/>
          <w:szCs w:val="24"/>
        </w:rPr>
        <w:t>Courts have described immigration law as “second only to the Internal Revenue Code in complexity”</w:t>
      </w:r>
      <w:r w:rsidRPr="00375C4E">
        <w:rPr>
          <w:rStyle w:val="FootnoteReference"/>
          <w:rFonts w:ascii="Century Schoolbook" w:hAnsi="Century Schoolbook" w:cs="Times New Roman"/>
          <w:sz w:val="24"/>
          <w:szCs w:val="24"/>
        </w:rPr>
        <w:footnoteReference w:id="10"/>
      </w:r>
      <w:r w:rsidRPr="00375C4E">
        <w:rPr>
          <w:rFonts w:ascii="Century Schoolbook" w:hAnsi="Century Schoolbook" w:cs="Times New Roman"/>
          <w:sz w:val="24"/>
          <w:szCs w:val="24"/>
        </w:rPr>
        <w:t xml:space="preserve"> and “dizzying,”</w:t>
      </w:r>
      <w:r w:rsidRPr="00375C4E">
        <w:rPr>
          <w:rStyle w:val="FootnoteReference"/>
          <w:rFonts w:ascii="Century Schoolbook" w:hAnsi="Century Schoolbook" w:cs="Times New Roman"/>
          <w:sz w:val="24"/>
          <w:szCs w:val="24"/>
        </w:rPr>
        <w:footnoteReference w:id="11"/>
      </w:r>
      <w:r w:rsidRPr="00375C4E">
        <w:rPr>
          <w:rFonts w:ascii="Century Schoolbook" w:hAnsi="Century Schoolbook" w:cs="Times New Roman"/>
          <w:sz w:val="24"/>
          <w:szCs w:val="24"/>
        </w:rPr>
        <w:t xml:space="preserve"> likening it to “King Minos’s labyrinth in ancient Crete.”</w:t>
      </w:r>
      <w:r w:rsidRPr="00375C4E">
        <w:rPr>
          <w:rStyle w:val="FootnoteReference"/>
          <w:rFonts w:ascii="Century Schoolbook" w:hAnsi="Century Schoolbook" w:cs="Times New Roman"/>
          <w:sz w:val="24"/>
          <w:szCs w:val="24"/>
        </w:rPr>
        <w:footnoteReference w:id="12"/>
      </w:r>
      <w:r w:rsidRPr="00375C4E">
        <w:rPr>
          <w:rFonts w:ascii="Century Schoolbook" w:hAnsi="Century Schoolbook" w:cs="Times New Roman"/>
          <w:sz w:val="24"/>
          <w:szCs w:val="24"/>
        </w:rPr>
        <w:t xml:space="preserve"> The Fifth Circuit bemoans that the law “yield[s] up meaning only grudgingly”</w:t>
      </w:r>
      <w:r w:rsidRPr="00375C4E">
        <w:rPr>
          <w:rStyle w:val="FootnoteReference"/>
          <w:rFonts w:ascii="Century Schoolbook" w:hAnsi="Century Schoolbook" w:cs="Times New Roman"/>
          <w:sz w:val="24"/>
          <w:szCs w:val="24"/>
        </w:rPr>
        <w:footnoteReference w:id="13"/>
      </w:r>
      <w:r w:rsidRPr="00375C4E">
        <w:rPr>
          <w:rFonts w:ascii="Century Schoolbook" w:hAnsi="Century Schoolbook" w:cs="Times New Roman"/>
          <w:sz w:val="24"/>
          <w:szCs w:val="24"/>
        </w:rPr>
        <w:t xml:space="preserve"> and it is, accordingly, well </w:t>
      </w:r>
      <w:r w:rsidRPr="00375C4E">
        <w:rPr>
          <w:rFonts w:ascii="Century Schoolbook" w:hAnsi="Century Schoolbook"/>
          <w:sz w:val="24"/>
          <w:szCs w:val="24"/>
        </w:rPr>
        <w:t>beyond the understanding of a lay person</w:t>
      </w:r>
      <w:r>
        <w:rPr>
          <w:rFonts w:ascii="Century Schoolbook" w:hAnsi="Century Schoolbook"/>
          <w:sz w:val="24"/>
          <w:szCs w:val="24"/>
        </w:rPr>
        <w:t xml:space="preserve"> and suitable for the appointment of an expert</w:t>
      </w:r>
      <w:r w:rsidRPr="00375C4E">
        <w:rPr>
          <w:rFonts w:ascii="Century Schoolbook" w:hAnsi="Century Schoolbook"/>
          <w:sz w:val="24"/>
          <w:szCs w:val="24"/>
        </w:rPr>
        <w:t>.</w:t>
      </w:r>
      <w:r w:rsidRPr="00375C4E">
        <w:rPr>
          <w:rStyle w:val="FootnoteReference"/>
          <w:rFonts w:ascii="Century Schoolbook" w:hAnsi="Century Schoolbook"/>
          <w:sz w:val="24"/>
          <w:szCs w:val="24"/>
        </w:rPr>
        <w:footnoteReference w:id="14"/>
      </w:r>
      <w:r w:rsidRPr="00375C4E">
        <w:rPr>
          <w:rFonts w:ascii="Century Schoolbook" w:hAnsi="Century Schoolbook"/>
          <w:sz w:val="24"/>
          <w:szCs w:val="24"/>
        </w:rPr>
        <w:t xml:space="preserve"> </w:t>
      </w:r>
    </w:p>
    <w:p w14:paraId="2B743C89" w14:textId="1EC93002" w:rsidR="000545AD" w:rsidRPr="00375C4E" w:rsidRDefault="003159C0" w:rsidP="009C1F22">
      <w:pPr>
        <w:ind w:firstLine="720"/>
        <w:rPr>
          <w:rFonts w:ascii="Century Schoolbook" w:hAnsi="Century Schoolbook"/>
          <w:sz w:val="24"/>
          <w:szCs w:val="24"/>
        </w:rPr>
      </w:pPr>
      <w:r w:rsidRPr="00375C4E">
        <w:rPr>
          <w:rFonts w:ascii="Century Schoolbook" w:hAnsi="Century Schoolbook"/>
          <w:sz w:val="24"/>
          <w:szCs w:val="24"/>
        </w:rPr>
        <w:t xml:space="preserve">Without appointment of the requested expert, Counsel </w:t>
      </w:r>
      <w:r w:rsidR="00801CA3">
        <w:rPr>
          <w:rFonts w:ascii="Century Schoolbook" w:hAnsi="Century Schoolbook"/>
          <w:sz w:val="24"/>
          <w:szCs w:val="24"/>
        </w:rPr>
        <w:t xml:space="preserve">risks inability to comply with </w:t>
      </w:r>
      <w:r w:rsidR="00801CA3">
        <w:rPr>
          <w:rFonts w:ascii="Century Schoolbook" w:hAnsi="Century Schoolbook"/>
          <w:i/>
          <w:iCs/>
          <w:sz w:val="24"/>
          <w:szCs w:val="24"/>
        </w:rPr>
        <w:t xml:space="preserve">Padilla </w:t>
      </w:r>
      <w:r w:rsidR="00801CA3">
        <w:rPr>
          <w:rFonts w:ascii="Century Schoolbook" w:hAnsi="Century Schoolbook"/>
          <w:sz w:val="24"/>
          <w:szCs w:val="24"/>
        </w:rPr>
        <w:t>and thus invites vacatur.</w:t>
      </w:r>
      <w:r w:rsidR="00950B7D" w:rsidRPr="00375C4E">
        <w:rPr>
          <w:rStyle w:val="FootnoteReference"/>
          <w:rFonts w:ascii="Century Schoolbook" w:hAnsi="Century Schoolbook"/>
          <w:sz w:val="24"/>
          <w:szCs w:val="24"/>
        </w:rPr>
        <w:footnoteReference w:id="15"/>
      </w:r>
      <w:r w:rsidRPr="00375C4E">
        <w:rPr>
          <w:rFonts w:ascii="Century Schoolbook" w:hAnsi="Century Schoolbook"/>
          <w:sz w:val="24"/>
          <w:szCs w:val="24"/>
        </w:rPr>
        <w:t xml:space="preserve"> </w:t>
      </w:r>
      <w:r w:rsidR="001514AC">
        <w:rPr>
          <w:rFonts w:ascii="Century Schoolbook" w:hAnsi="Century Schoolbook"/>
          <w:sz w:val="24"/>
          <w:szCs w:val="24"/>
        </w:rPr>
        <w:t>Evaluation of the immigration consequences of this case by a qualified immigration expert as an agent for the defense is necessary in order to allow counsel for the Defendant to provide constitutionally effective assistance in this cause.</w:t>
      </w:r>
    </w:p>
    <w:p w14:paraId="0C423004" w14:textId="77777777" w:rsidR="009C1F22" w:rsidRDefault="009C1F22" w:rsidP="001514AC">
      <w:pPr>
        <w:rPr>
          <w:rFonts w:ascii="Century Schoolbook" w:hAnsi="Century Schoolbook"/>
          <w:sz w:val="24"/>
          <w:szCs w:val="24"/>
        </w:rPr>
      </w:pPr>
    </w:p>
    <w:p w14:paraId="4CFDD06B" w14:textId="7A4162E7" w:rsidR="001C095B" w:rsidRDefault="001514AC" w:rsidP="001C095B">
      <w:pPr>
        <w:ind w:firstLine="72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WHEREFORE, PREMISES CONSIDERED, Defendant respectfully moves this Court </w:t>
      </w:r>
      <w:r w:rsidR="001C095B">
        <w:rPr>
          <w:rFonts w:ascii="Century Schoolbook" w:hAnsi="Century Schoolbook"/>
          <w:sz w:val="24"/>
          <w:szCs w:val="24"/>
        </w:rPr>
        <w:t xml:space="preserve">to </w:t>
      </w:r>
      <w:r w:rsidR="001C095B" w:rsidRPr="00375C4E">
        <w:rPr>
          <w:rFonts w:ascii="Century Schoolbook" w:hAnsi="Century Schoolbook"/>
          <w:sz w:val="24"/>
          <w:szCs w:val="24"/>
        </w:rPr>
        <w:t>authorize undersigned defense counsel to retain</w:t>
      </w:r>
      <w:r w:rsidR="001C095B">
        <w:rPr>
          <w:rFonts w:ascii="Century Schoolbook" w:hAnsi="Century Schoolbook"/>
          <w:sz w:val="24"/>
          <w:szCs w:val="24"/>
        </w:rPr>
        <w:t xml:space="preserve"> as defense expert:</w:t>
      </w:r>
      <w:r w:rsidR="001C095B" w:rsidRPr="00375C4E">
        <w:rPr>
          <w:rFonts w:ascii="Century Schoolbook" w:hAnsi="Century Schoolbook"/>
          <w:sz w:val="24"/>
          <w:szCs w:val="24"/>
        </w:rPr>
        <w:t xml:space="preserve">  </w:t>
      </w:r>
      <w:r w:rsidR="00FB0F59">
        <w:rPr>
          <w:rFonts w:ascii="Century Schoolbook" w:hAnsi="Century Schoolbook"/>
          <w:sz w:val="24"/>
          <w:szCs w:val="24"/>
        </w:rPr>
        <w:t xml:space="preserve">nonprofit immigration legal service organization </w:t>
      </w:r>
      <w:r w:rsidR="001C095B" w:rsidRPr="00B32B73">
        <w:rPr>
          <w:rFonts w:ascii="Century Schoolbook" w:hAnsi="Century Schoolbook"/>
          <w:color w:val="ED7D31" w:themeColor="accent2"/>
          <w:sz w:val="24"/>
          <w:szCs w:val="24"/>
        </w:rPr>
        <w:t xml:space="preserve">myPadilla [or Attorney X] </w:t>
      </w:r>
      <w:r w:rsidR="001C095B">
        <w:rPr>
          <w:rFonts w:ascii="Century Schoolbook" w:hAnsi="Century Schoolbook"/>
          <w:sz w:val="24"/>
          <w:szCs w:val="24"/>
        </w:rPr>
        <w:t xml:space="preserve">to provide a written legal memorandum for defense counsel regarding the specific immigration consequences to CLIENT of the charged offense(s) at a cost of </w:t>
      </w:r>
      <w:r w:rsidR="001C095B" w:rsidRPr="00B32B73">
        <w:rPr>
          <w:rFonts w:ascii="Century Schoolbook" w:hAnsi="Century Schoolbook"/>
          <w:color w:val="ED7D31" w:themeColor="accent2"/>
          <w:sz w:val="24"/>
          <w:szCs w:val="24"/>
        </w:rPr>
        <w:t>$300 [or Attorney X fee]</w:t>
      </w:r>
      <w:r w:rsidR="001C095B" w:rsidRPr="00375C4E">
        <w:rPr>
          <w:rFonts w:ascii="Century Schoolbook" w:hAnsi="Century Schoolbook"/>
          <w:sz w:val="24"/>
          <w:szCs w:val="24"/>
        </w:rPr>
        <w:t>.</w:t>
      </w:r>
    </w:p>
    <w:p w14:paraId="023F5973" w14:textId="77777777" w:rsidR="00AD57D8" w:rsidRDefault="00AD57D8" w:rsidP="000545AD">
      <w:pPr>
        <w:rPr>
          <w:rFonts w:ascii="Century Schoolbook" w:hAnsi="Century Schoolbook"/>
          <w:sz w:val="24"/>
          <w:szCs w:val="24"/>
        </w:rPr>
      </w:pPr>
    </w:p>
    <w:p w14:paraId="6A445812" w14:textId="545955D9" w:rsidR="0017195D" w:rsidRPr="00375C4E" w:rsidRDefault="0017195D" w:rsidP="00AD2E4B">
      <w:pPr>
        <w:ind w:left="3600" w:firstLine="720"/>
        <w:rPr>
          <w:rFonts w:ascii="Century Schoolbook" w:hAnsi="Century Schoolbook"/>
          <w:sz w:val="24"/>
          <w:szCs w:val="24"/>
        </w:rPr>
      </w:pPr>
      <w:r w:rsidRPr="00375C4E">
        <w:rPr>
          <w:rFonts w:ascii="Century Schoolbook" w:hAnsi="Century Schoolbook"/>
          <w:sz w:val="24"/>
          <w:szCs w:val="24"/>
        </w:rPr>
        <w:t xml:space="preserve">Respectfully submitted, </w:t>
      </w:r>
    </w:p>
    <w:p w14:paraId="0010E11F" w14:textId="22991EBB" w:rsidR="0017195D" w:rsidRPr="00375C4E" w:rsidRDefault="0017195D" w:rsidP="000545AD">
      <w:pPr>
        <w:rPr>
          <w:rFonts w:ascii="Century Schoolbook" w:hAnsi="Century Schoolbook"/>
          <w:sz w:val="24"/>
          <w:szCs w:val="24"/>
        </w:rPr>
      </w:pPr>
    </w:p>
    <w:p w14:paraId="673CB5D0" w14:textId="48A6B9CE" w:rsidR="0017195D" w:rsidRPr="00375C4E" w:rsidRDefault="0017195D" w:rsidP="00AD2E4B">
      <w:pPr>
        <w:ind w:left="4320"/>
        <w:rPr>
          <w:rFonts w:ascii="Century Schoolbook" w:hAnsi="Century Schoolbook"/>
          <w:sz w:val="24"/>
          <w:szCs w:val="24"/>
        </w:rPr>
      </w:pPr>
      <w:r w:rsidRPr="00375C4E">
        <w:rPr>
          <w:rFonts w:ascii="Century Schoolbook" w:hAnsi="Century Schoolbook"/>
          <w:sz w:val="24"/>
          <w:szCs w:val="24"/>
        </w:rPr>
        <w:t>_______________</w:t>
      </w:r>
    </w:p>
    <w:p w14:paraId="3F32F41F" w14:textId="1ECE52EE" w:rsidR="0017195D" w:rsidRPr="00375C4E" w:rsidRDefault="0017195D" w:rsidP="00AD2E4B">
      <w:pPr>
        <w:ind w:left="3600" w:firstLine="720"/>
        <w:rPr>
          <w:rFonts w:ascii="Century Schoolbook" w:hAnsi="Century Schoolbook"/>
          <w:sz w:val="24"/>
          <w:szCs w:val="24"/>
        </w:rPr>
      </w:pPr>
      <w:r w:rsidRPr="00375C4E">
        <w:rPr>
          <w:rFonts w:ascii="Century Schoolbook" w:hAnsi="Century Schoolbook"/>
          <w:sz w:val="24"/>
          <w:szCs w:val="24"/>
        </w:rPr>
        <w:t>[</w:t>
      </w:r>
      <w:r w:rsidR="00AD2E4B">
        <w:rPr>
          <w:rFonts w:ascii="Century Schoolbook" w:hAnsi="Century Schoolbook"/>
          <w:sz w:val="24"/>
          <w:szCs w:val="24"/>
        </w:rPr>
        <w:t>SIGNATURE BLOCK</w:t>
      </w:r>
      <w:r w:rsidRPr="00375C4E">
        <w:rPr>
          <w:rFonts w:ascii="Century Schoolbook" w:hAnsi="Century Schoolbook"/>
          <w:sz w:val="24"/>
          <w:szCs w:val="24"/>
        </w:rPr>
        <w:t>]</w:t>
      </w:r>
    </w:p>
    <w:p w14:paraId="4724EAC1" w14:textId="6E4EBB23" w:rsidR="0017195D" w:rsidRPr="00375C4E" w:rsidRDefault="0017195D" w:rsidP="000545AD">
      <w:pPr>
        <w:rPr>
          <w:rFonts w:ascii="Century Schoolbook" w:hAnsi="Century Schoolbook"/>
          <w:sz w:val="24"/>
          <w:szCs w:val="24"/>
        </w:rPr>
      </w:pPr>
    </w:p>
    <w:p w14:paraId="249FD054" w14:textId="77777777" w:rsidR="00AD2E4B" w:rsidRDefault="00AD2E4B" w:rsidP="00AD2E4B">
      <w:pPr>
        <w:jc w:val="center"/>
        <w:rPr>
          <w:rFonts w:ascii="Century Schoolbook" w:hAnsi="Century Schoolbook"/>
          <w:b/>
          <w:bCs/>
          <w:sz w:val="24"/>
          <w:szCs w:val="24"/>
        </w:rPr>
      </w:pPr>
    </w:p>
    <w:p w14:paraId="26DB64C3" w14:textId="2532B03D" w:rsidR="001514AC" w:rsidRPr="00AD2E4B" w:rsidRDefault="0017195D" w:rsidP="00AD2E4B">
      <w:pPr>
        <w:jc w:val="center"/>
        <w:rPr>
          <w:rFonts w:ascii="Century Schoolbook" w:hAnsi="Century Schoolbook"/>
          <w:b/>
          <w:bCs/>
          <w:sz w:val="24"/>
          <w:szCs w:val="24"/>
        </w:rPr>
      </w:pPr>
      <w:r w:rsidRPr="00AD2E4B">
        <w:rPr>
          <w:rFonts w:ascii="Century Schoolbook" w:hAnsi="Century Schoolbook"/>
          <w:b/>
          <w:bCs/>
          <w:sz w:val="24"/>
          <w:szCs w:val="24"/>
        </w:rPr>
        <w:t>CERTIFICATE OF SERVICE</w:t>
      </w:r>
    </w:p>
    <w:p w14:paraId="44DE811D" w14:textId="136A803B" w:rsidR="001514AC" w:rsidRDefault="00AD2E4B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I certify that a copy of Defendant’s Motion for Appointment of Defense Expert has been delivered to the [ </w:t>
      </w:r>
      <w:r w:rsidR="00B55CED">
        <w:rPr>
          <w:rFonts w:ascii="Century Schoolbook" w:hAnsi="Century Schoolbook"/>
          <w:sz w:val="24"/>
          <w:szCs w:val="24"/>
        </w:rPr>
        <w:t xml:space="preserve">    </w:t>
      </w:r>
      <w:r>
        <w:rPr>
          <w:rFonts w:ascii="Century Schoolbook" w:hAnsi="Century Schoolbook"/>
          <w:sz w:val="24"/>
          <w:szCs w:val="24"/>
        </w:rPr>
        <w:t xml:space="preserve">], on this date of ______ ___, 20__. </w:t>
      </w:r>
    </w:p>
    <w:p w14:paraId="38F01F8E" w14:textId="6C503559" w:rsidR="00AD2E4B" w:rsidRDefault="00AD2E4B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</w:p>
    <w:p w14:paraId="38D246A6" w14:textId="77777777" w:rsidR="00AD2E4B" w:rsidRPr="00375C4E" w:rsidRDefault="00AD2E4B" w:rsidP="00AD2E4B">
      <w:pPr>
        <w:ind w:left="4320"/>
        <w:rPr>
          <w:rFonts w:ascii="Century Schoolbook" w:hAnsi="Century Schoolbook"/>
          <w:sz w:val="24"/>
          <w:szCs w:val="24"/>
        </w:rPr>
      </w:pPr>
      <w:r w:rsidRPr="00375C4E">
        <w:rPr>
          <w:rFonts w:ascii="Century Schoolbook" w:hAnsi="Century Schoolbook"/>
          <w:sz w:val="24"/>
          <w:szCs w:val="24"/>
        </w:rPr>
        <w:t>_______________</w:t>
      </w:r>
    </w:p>
    <w:p w14:paraId="75ED21B2" w14:textId="77777777" w:rsidR="00AD2E4B" w:rsidRPr="00375C4E" w:rsidRDefault="00AD2E4B" w:rsidP="00AD2E4B">
      <w:pPr>
        <w:ind w:left="3600" w:firstLine="720"/>
        <w:rPr>
          <w:rFonts w:ascii="Century Schoolbook" w:hAnsi="Century Schoolbook"/>
          <w:sz w:val="24"/>
          <w:szCs w:val="24"/>
        </w:rPr>
      </w:pPr>
      <w:r w:rsidRPr="00375C4E">
        <w:rPr>
          <w:rFonts w:ascii="Century Schoolbook" w:hAnsi="Century Schoolbook"/>
          <w:sz w:val="24"/>
          <w:szCs w:val="24"/>
        </w:rPr>
        <w:t>[</w:t>
      </w:r>
      <w:r>
        <w:rPr>
          <w:rFonts w:ascii="Century Schoolbook" w:hAnsi="Century Schoolbook"/>
          <w:sz w:val="24"/>
          <w:szCs w:val="24"/>
        </w:rPr>
        <w:t>SIGNATURE BLOCK</w:t>
      </w:r>
      <w:r w:rsidRPr="00375C4E">
        <w:rPr>
          <w:rFonts w:ascii="Century Schoolbook" w:hAnsi="Century Schoolbook"/>
          <w:sz w:val="24"/>
          <w:szCs w:val="24"/>
        </w:rPr>
        <w:t>]</w:t>
      </w:r>
    </w:p>
    <w:p w14:paraId="5C1B7CB5" w14:textId="77777777" w:rsidR="00AD2E4B" w:rsidRDefault="00AD2E4B">
      <w:pPr>
        <w:rPr>
          <w:rFonts w:ascii="Century Schoolbook" w:hAnsi="Century Schoolbook"/>
          <w:sz w:val="24"/>
          <w:szCs w:val="24"/>
        </w:rPr>
      </w:pPr>
    </w:p>
    <w:p w14:paraId="30185779" w14:textId="35EA4A34" w:rsidR="00AD2E4B" w:rsidRDefault="00AD2E4B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</w:p>
    <w:p w14:paraId="27309E2C" w14:textId="77777777" w:rsidR="00AD2E4B" w:rsidRDefault="00AD2E4B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br w:type="page"/>
      </w:r>
    </w:p>
    <w:p w14:paraId="05166F60" w14:textId="2207FAE3" w:rsidR="001514AC" w:rsidRPr="00375C4E" w:rsidRDefault="001514AC" w:rsidP="001514AC">
      <w:pPr>
        <w:jc w:val="center"/>
        <w:rPr>
          <w:rFonts w:ascii="Century Schoolbook" w:hAnsi="Century Schoolbook"/>
          <w:sz w:val="24"/>
          <w:szCs w:val="24"/>
        </w:rPr>
      </w:pPr>
      <w:r w:rsidRPr="00375C4E">
        <w:rPr>
          <w:rFonts w:ascii="Century Schoolbook" w:hAnsi="Century Schoolbook"/>
          <w:sz w:val="24"/>
          <w:szCs w:val="24"/>
        </w:rPr>
        <w:t>[CAUSE NUMBER]</w:t>
      </w:r>
    </w:p>
    <w:p w14:paraId="48BB7557" w14:textId="77777777" w:rsidR="001514AC" w:rsidRPr="00375C4E" w:rsidRDefault="001514AC" w:rsidP="001514AC">
      <w:pPr>
        <w:rPr>
          <w:rFonts w:ascii="Century Schoolbook" w:hAnsi="Century Schoolbook"/>
          <w:sz w:val="24"/>
          <w:szCs w:val="24"/>
        </w:rPr>
      </w:pPr>
    </w:p>
    <w:p w14:paraId="5A915EAC" w14:textId="77777777" w:rsidR="001514AC" w:rsidRPr="00375C4E" w:rsidRDefault="001514AC" w:rsidP="001514AC">
      <w:pPr>
        <w:rPr>
          <w:rFonts w:ascii="Century Schoolbook" w:hAnsi="Century Schoolbook"/>
          <w:sz w:val="24"/>
          <w:szCs w:val="24"/>
        </w:rPr>
      </w:pPr>
      <w:r w:rsidRPr="00375C4E">
        <w:rPr>
          <w:rFonts w:ascii="Century Schoolbook" w:hAnsi="Century Schoolbook"/>
          <w:sz w:val="24"/>
          <w:szCs w:val="24"/>
        </w:rPr>
        <w:t>STATE OF TEXAS</w:t>
      </w:r>
      <w:r w:rsidRPr="00375C4E">
        <w:rPr>
          <w:rFonts w:ascii="Century Schoolbook" w:hAnsi="Century Schoolbook"/>
          <w:sz w:val="24"/>
          <w:szCs w:val="24"/>
        </w:rPr>
        <w:tab/>
      </w:r>
      <w:r w:rsidRPr="00375C4E">
        <w:rPr>
          <w:rFonts w:ascii="Century Schoolbook" w:hAnsi="Century Schoolbook"/>
          <w:sz w:val="24"/>
          <w:szCs w:val="24"/>
        </w:rPr>
        <w:tab/>
      </w:r>
      <w:r w:rsidRPr="00375C4E">
        <w:rPr>
          <w:rFonts w:ascii="Century Schoolbook" w:hAnsi="Century Schoolbook"/>
          <w:sz w:val="24"/>
          <w:szCs w:val="24"/>
        </w:rPr>
        <w:tab/>
      </w:r>
      <w:r w:rsidRPr="00375C4E">
        <w:rPr>
          <w:rFonts w:ascii="Century Schoolbook" w:hAnsi="Century Schoolbook"/>
          <w:sz w:val="24"/>
          <w:szCs w:val="24"/>
        </w:rPr>
        <w:tab/>
        <w:t>)</w:t>
      </w:r>
      <w:r w:rsidRPr="00375C4E">
        <w:rPr>
          <w:rFonts w:ascii="Century Schoolbook" w:hAnsi="Century Schoolbook"/>
          <w:sz w:val="24"/>
          <w:szCs w:val="24"/>
        </w:rPr>
        <w:tab/>
      </w:r>
    </w:p>
    <w:p w14:paraId="15E9E50C" w14:textId="77777777" w:rsidR="001514AC" w:rsidRPr="00375C4E" w:rsidRDefault="001514AC" w:rsidP="001514AC">
      <w:pPr>
        <w:rPr>
          <w:rFonts w:ascii="Century Schoolbook" w:hAnsi="Century Schoolbook"/>
          <w:sz w:val="24"/>
          <w:szCs w:val="24"/>
        </w:rPr>
      </w:pPr>
      <w:r w:rsidRPr="00375C4E">
        <w:rPr>
          <w:rFonts w:ascii="Century Schoolbook" w:hAnsi="Century Schoolbook"/>
          <w:sz w:val="24"/>
          <w:szCs w:val="24"/>
        </w:rPr>
        <w:tab/>
      </w:r>
      <w:r w:rsidRPr="00375C4E">
        <w:rPr>
          <w:rFonts w:ascii="Century Schoolbook" w:hAnsi="Century Schoolbook"/>
          <w:sz w:val="24"/>
          <w:szCs w:val="24"/>
        </w:rPr>
        <w:tab/>
      </w:r>
      <w:r w:rsidRPr="00375C4E">
        <w:rPr>
          <w:rFonts w:ascii="Century Schoolbook" w:hAnsi="Century Schoolbook"/>
          <w:sz w:val="24"/>
          <w:szCs w:val="24"/>
        </w:rPr>
        <w:tab/>
      </w:r>
      <w:r w:rsidRPr="00375C4E">
        <w:rPr>
          <w:rFonts w:ascii="Century Schoolbook" w:hAnsi="Century Schoolbook"/>
          <w:sz w:val="24"/>
          <w:szCs w:val="24"/>
        </w:rPr>
        <w:tab/>
      </w:r>
      <w:r w:rsidRPr="00375C4E">
        <w:rPr>
          <w:rFonts w:ascii="Century Schoolbook" w:hAnsi="Century Schoolbook"/>
          <w:sz w:val="24"/>
          <w:szCs w:val="24"/>
        </w:rPr>
        <w:tab/>
      </w:r>
      <w:r w:rsidRPr="00375C4E">
        <w:rPr>
          <w:rFonts w:ascii="Century Schoolbook" w:hAnsi="Century Schoolbook"/>
          <w:sz w:val="24"/>
          <w:szCs w:val="24"/>
        </w:rPr>
        <w:tab/>
        <w:t>)</w:t>
      </w:r>
      <w:r w:rsidRPr="00375C4E">
        <w:rPr>
          <w:rFonts w:ascii="Century Schoolbook" w:hAnsi="Century Schoolbook"/>
          <w:sz w:val="24"/>
          <w:szCs w:val="24"/>
        </w:rPr>
        <w:tab/>
        <w:t>In the [COURT]</w:t>
      </w:r>
    </w:p>
    <w:p w14:paraId="4904BACD" w14:textId="77777777" w:rsidR="001514AC" w:rsidRPr="00375C4E" w:rsidRDefault="001514AC" w:rsidP="001514AC">
      <w:pPr>
        <w:rPr>
          <w:rFonts w:ascii="Century Schoolbook" w:hAnsi="Century Schoolbook"/>
          <w:sz w:val="24"/>
          <w:szCs w:val="24"/>
        </w:rPr>
      </w:pPr>
      <w:r w:rsidRPr="00375C4E">
        <w:rPr>
          <w:rFonts w:ascii="Century Schoolbook" w:hAnsi="Century Schoolbook"/>
          <w:sz w:val="24"/>
          <w:szCs w:val="24"/>
        </w:rPr>
        <w:t xml:space="preserve">vs. </w:t>
      </w:r>
      <w:r w:rsidRPr="00375C4E">
        <w:rPr>
          <w:rFonts w:ascii="Century Schoolbook" w:hAnsi="Century Schoolbook"/>
          <w:sz w:val="24"/>
          <w:szCs w:val="24"/>
        </w:rPr>
        <w:tab/>
      </w:r>
      <w:r w:rsidRPr="00375C4E">
        <w:rPr>
          <w:rFonts w:ascii="Century Schoolbook" w:hAnsi="Century Schoolbook"/>
          <w:sz w:val="24"/>
          <w:szCs w:val="24"/>
        </w:rPr>
        <w:tab/>
      </w:r>
      <w:r w:rsidRPr="00375C4E">
        <w:rPr>
          <w:rFonts w:ascii="Century Schoolbook" w:hAnsi="Century Schoolbook"/>
          <w:sz w:val="24"/>
          <w:szCs w:val="24"/>
        </w:rPr>
        <w:tab/>
      </w:r>
      <w:r w:rsidRPr="00375C4E">
        <w:rPr>
          <w:rFonts w:ascii="Century Schoolbook" w:hAnsi="Century Schoolbook"/>
          <w:sz w:val="24"/>
          <w:szCs w:val="24"/>
        </w:rPr>
        <w:tab/>
      </w:r>
      <w:r w:rsidRPr="00375C4E">
        <w:rPr>
          <w:rFonts w:ascii="Century Schoolbook" w:hAnsi="Century Schoolbook"/>
          <w:sz w:val="24"/>
          <w:szCs w:val="24"/>
        </w:rPr>
        <w:tab/>
      </w:r>
      <w:r w:rsidRPr="00375C4E">
        <w:rPr>
          <w:rFonts w:ascii="Century Schoolbook" w:hAnsi="Century Schoolbook"/>
          <w:sz w:val="24"/>
          <w:szCs w:val="24"/>
        </w:rPr>
        <w:tab/>
        <w:t>)</w:t>
      </w:r>
      <w:r w:rsidRPr="00375C4E">
        <w:rPr>
          <w:rFonts w:ascii="Century Schoolbook" w:hAnsi="Century Schoolbook"/>
          <w:sz w:val="24"/>
          <w:szCs w:val="24"/>
        </w:rPr>
        <w:tab/>
        <w:t>[COUNTY], Texas</w:t>
      </w:r>
    </w:p>
    <w:p w14:paraId="557F2236" w14:textId="77777777" w:rsidR="001514AC" w:rsidRPr="00375C4E" w:rsidRDefault="001514AC" w:rsidP="001514AC">
      <w:pPr>
        <w:rPr>
          <w:rFonts w:ascii="Century Schoolbook" w:hAnsi="Century Schoolbook"/>
          <w:sz w:val="24"/>
          <w:szCs w:val="24"/>
        </w:rPr>
      </w:pPr>
      <w:r w:rsidRPr="00375C4E">
        <w:rPr>
          <w:rFonts w:ascii="Century Schoolbook" w:hAnsi="Century Schoolbook"/>
          <w:sz w:val="24"/>
          <w:szCs w:val="24"/>
        </w:rPr>
        <w:tab/>
      </w:r>
      <w:r w:rsidRPr="00375C4E">
        <w:rPr>
          <w:rFonts w:ascii="Century Schoolbook" w:hAnsi="Century Schoolbook"/>
          <w:sz w:val="24"/>
          <w:szCs w:val="24"/>
        </w:rPr>
        <w:tab/>
      </w:r>
      <w:r w:rsidRPr="00375C4E">
        <w:rPr>
          <w:rFonts w:ascii="Century Schoolbook" w:hAnsi="Century Schoolbook"/>
          <w:sz w:val="24"/>
          <w:szCs w:val="24"/>
        </w:rPr>
        <w:tab/>
      </w:r>
      <w:r w:rsidRPr="00375C4E">
        <w:rPr>
          <w:rFonts w:ascii="Century Schoolbook" w:hAnsi="Century Schoolbook"/>
          <w:sz w:val="24"/>
          <w:szCs w:val="24"/>
        </w:rPr>
        <w:tab/>
      </w:r>
      <w:r w:rsidRPr="00375C4E">
        <w:rPr>
          <w:rFonts w:ascii="Century Schoolbook" w:hAnsi="Century Schoolbook"/>
          <w:sz w:val="24"/>
          <w:szCs w:val="24"/>
        </w:rPr>
        <w:tab/>
      </w:r>
      <w:r w:rsidRPr="00375C4E">
        <w:rPr>
          <w:rFonts w:ascii="Century Schoolbook" w:hAnsi="Century Schoolbook"/>
          <w:sz w:val="24"/>
          <w:szCs w:val="24"/>
        </w:rPr>
        <w:tab/>
        <w:t>)</w:t>
      </w:r>
    </w:p>
    <w:p w14:paraId="0950665C" w14:textId="77777777" w:rsidR="001514AC" w:rsidRPr="00375C4E" w:rsidRDefault="001514AC" w:rsidP="001514AC">
      <w:pPr>
        <w:rPr>
          <w:rFonts w:ascii="Century Schoolbook" w:hAnsi="Century Schoolbook"/>
          <w:sz w:val="24"/>
          <w:szCs w:val="24"/>
        </w:rPr>
      </w:pPr>
      <w:r w:rsidRPr="00375C4E">
        <w:rPr>
          <w:rFonts w:ascii="Century Schoolbook" w:hAnsi="Century Schoolbook"/>
          <w:sz w:val="24"/>
          <w:szCs w:val="24"/>
        </w:rPr>
        <w:t>CLIENT</w:t>
      </w:r>
      <w:r w:rsidRPr="00375C4E">
        <w:rPr>
          <w:rFonts w:ascii="Century Schoolbook" w:hAnsi="Century Schoolbook"/>
          <w:sz w:val="24"/>
          <w:szCs w:val="24"/>
        </w:rPr>
        <w:tab/>
      </w:r>
      <w:r w:rsidRPr="00375C4E">
        <w:rPr>
          <w:rFonts w:ascii="Century Schoolbook" w:hAnsi="Century Schoolbook"/>
          <w:sz w:val="24"/>
          <w:szCs w:val="24"/>
        </w:rPr>
        <w:tab/>
      </w:r>
      <w:r w:rsidRPr="00375C4E">
        <w:rPr>
          <w:rFonts w:ascii="Century Schoolbook" w:hAnsi="Century Schoolbook"/>
          <w:sz w:val="24"/>
          <w:szCs w:val="24"/>
        </w:rPr>
        <w:tab/>
      </w:r>
      <w:r w:rsidRPr="00375C4E">
        <w:rPr>
          <w:rFonts w:ascii="Century Schoolbook" w:hAnsi="Century Schoolbook"/>
          <w:sz w:val="24"/>
          <w:szCs w:val="24"/>
        </w:rPr>
        <w:tab/>
      </w:r>
      <w:r w:rsidRPr="00375C4E">
        <w:rPr>
          <w:rFonts w:ascii="Century Schoolbook" w:hAnsi="Century Schoolbook"/>
          <w:sz w:val="24"/>
          <w:szCs w:val="24"/>
        </w:rPr>
        <w:tab/>
        <w:t>)</w:t>
      </w:r>
    </w:p>
    <w:p w14:paraId="6C738ABF" w14:textId="77777777" w:rsidR="001514AC" w:rsidRPr="00375C4E" w:rsidRDefault="001514AC" w:rsidP="001514AC">
      <w:pPr>
        <w:rPr>
          <w:rFonts w:ascii="Century Schoolbook" w:hAnsi="Century Schoolbook"/>
          <w:sz w:val="24"/>
          <w:szCs w:val="24"/>
        </w:rPr>
      </w:pPr>
    </w:p>
    <w:p w14:paraId="04186C0E" w14:textId="2864FA2E" w:rsidR="0017195D" w:rsidRPr="001514AC" w:rsidRDefault="0017195D" w:rsidP="001514AC">
      <w:pPr>
        <w:jc w:val="center"/>
        <w:rPr>
          <w:rFonts w:ascii="Century Schoolbook" w:hAnsi="Century Schoolbook"/>
          <w:b/>
          <w:bCs/>
          <w:sz w:val="24"/>
          <w:szCs w:val="24"/>
          <w:u w:val="single"/>
        </w:rPr>
      </w:pPr>
      <w:r w:rsidRPr="001514AC">
        <w:rPr>
          <w:rFonts w:ascii="Century Schoolbook" w:hAnsi="Century Schoolbook"/>
          <w:b/>
          <w:bCs/>
          <w:sz w:val="24"/>
          <w:szCs w:val="24"/>
          <w:u w:val="single"/>
        </w:rPr>
        <w:t>ORDER</w:t>
      </w:r>
    </w:p>
    <w:p w14:paraId="679F79EA" w14:textId="77777777" w:rsidR="001514AC" w:rsidRDefault="001514AC" w:rsidP="001514AC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IT IS HEREBY ORDERED, ADJUDGED AND DECREED that Defendant’s Motion for Appointment of a Defense Expert is hereby GRANTED/DENIED this the _____ day </w:t>
      </w:r>
      <w:proofErr w:type="gramStart"/>
      <w:r>
        <w:rPr>
          <w:rFonts w:ascii="Century Schoolbook" w:hAnsi="Century Schoolbook"/>
          <w:sz w:val="24"/>
          <w:szCs w:val="24"/>
        </w:rPr>
        <w:t>of  _</w:t>
      </w:r>
      <w:proofErr w:type="gramEnd"/>
      <w:r>
        <w:rPr>
          <w:rFonts w:ascii="Century Schoolbook" w:hAnsi="Century Schoolbook"/>
          <w:sz w:val="24"/>
          <w:szCs w:val="24"/>
        </w:rPr>
        <w:t>______, 20___.</w:t>
      </w:r>
    </w:p>
    <w:p w14:paraId="6C14EE9B" w14:textId="77777777" w:rsidR="001514AC" w:rsidRDefault="001514AC" w:rsidP="001514AC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  <w:t>IT IS FURTHER ORDERED that expert ___________________ tender the report only to the Attorney for Defendant.</w:t>
      </w:r>
    </w:p>
    <w:p w14:paraId="7A12A006" w14:textId="77777777" w:rsidR="001514AC" w:rsidRDefault="001514AC" w:rsidP="001514AC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  <w:t>IT IS FURTHER ORDERED that the funds in an amount not to exceed $_________ shall be provided for the payment of the fees of the said expert.</w:t>
      </w:r>
    </w:p>
    <w:p w14:paraId="3791FFCA" w14:textId="77777777" w:rsidR="001514AC" w:rsidRDefault="001514AC" w:rsidP="001514AC">
      <w:pPr>
        <w:rPr>
          <w:rFonts w:ascii="Century Schoolbook" w:hAnsi="Century Schoolbook"/>
          <w:sz w:val="24"/>
          <w:szCs w:val="24"/>
        </w:rPr>
      </w:pPr>
    </w:p>
    <w:p w14:paraId="46AC1D83" w14:textId="77777777" w:rsidR="001514AC" w:rsidRDefault="001514AC" w:rsidP="001514AC">
      <w:pPr>
        <w:rPr>
          <w:rFonts w:ascii="Century Schoolbook" w:hAnsi="Century Schoolbook"/>
          <w:sz w:val="24"/>
          <w:szCs w:val="24"/>
        </w:rPr>
      </w:pPr>
    </w:p>
    <w:p w14:paraId="0D2595AF" w14:textId="2F14A935" w:rsidR="001514AC" w:rsidRDefault="001514AC" w:rsidP="00B55CED">
      <w:pPr>
        <w:jc w:val="right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___________________________</w:t>
      </w:r>
    </w:p>
    <w:p w14:paraId="770EBABA" w14:textId="279EAB7D" w:rsidR="001514AC" w:rsidRDefault="001514AC" w:rsidP="00B55CED">
      <w:pPr>
        <w:ind w:left="5040" w:firstLine="720"/>
        <w:jc w:val="center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JUDGE PRESIDING</w:t>
      </w:r>
    </w:p>
    <w:p w14:paraId="3E5896D7" w14:textId="77777777" w:rsidR="001514AC" w:rsidRPr="00375C4E" w:rsidRDefault="001514AC" w:rsidP="000545AD">
      <w:pPr>
        <w:rPr>
          <w:rFonts w:ascii="Century Schoolbook" w:hAnsi="Century Schoolbook"/>
          <w:sz w:val="24"/>
          <w:szCs w:val="24"/>
        </w:rPr>
      </w:pPr>
    </w:p>
    <w:p w14:paraId="3DE14DB1" w14:textId="3EBEF671" w:rsidR="00AC7788" w:rsidRPr="00375C4E" w:rsidRDefault="00AC7788" w:rsidP="002457B4">
      <w:pPr>
        <w:rPr>
          <w:rFonts w:ascii="Century Schoolbook" w:hAnsi="Century Schoolbook"/>
          <w:sz w:val="24"/>
          <w:szCs w:val="24"/>
        </w:rPr>
      </w:pPr>
      <w:r w:rsidRPr="00375C4E">
        <w:rPr>
          <w:rFonts w:ascii="Century Schoolbook" w:hAnsi="Century Schoolbook"/>
          <w:sz w:val="24"/>
          <w:szCs w:val="24"/>
        </w:rPr>
        <w:t xml:space="preserve">   </w:t>
      </w:r>
    </w:p>
    <w:sectPr w:rsidR="00AC7788" w:rsidRPr="00375C4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2DD6A" w14:textId="77777777" w:rsidR="006B16A5" w:rsidRDefault="006B16A5" w:rsidP="00B5640D">
      <w:pPr>
        <w:spacing w:after="0" w:line="240" w:lineRule="auto"/>
      </w:pPr>
      <w:r>
        <w:separator/>
      </w:r>
    </w:p>
  </w:endnote>
  <w:endnote w:type="continuationSeparator" w:id="0">
    <w:p w14:paraId="4A24C930" w14:textId="77777777" w:rsidR="006B16A5" w:rsidRDefault="006B16A5" w:rsidP="00B56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83CAC" w14:textId="77777777" w:rsidR="006B16A5" w:rsidRDefault="006B16A5" w:rsidP="00B5640D">
      <w:pPr>
        <w:spacing w:after="0" w:line="240" w:lineRule="auto"/>
      </w:pPr>
      <w:r>
        <w:separator/>
      </w:r>
    </w:p>
  </w:footnote>
  <w:footnote w:type="continuationSeparator" w:id="0">
    <w:p w14:paraId="2099E68C" w14:textId="77777777" w:rsidR="006B16A5" w:rsidRDefault="006B16A5" w:rsidP="00B5640D">
      <w:pPr>
        <w:spacing w:after="0" w:line="240" w:lineRule="auto"/>
      </w:pPr>
      <w:r>
        <w:continuationSeparator/>
      </w:r>
    </w:p>
  </w:footnote>
  <w:footnote w:type="continuationNotice" w:id="1">
    <w:p w14:paraId="4B935576" w14:textId="77777777" w:rsidR="006B16A5" w:rsidRDefault="006B16A5">
      <w:pPr>
        <w:spacing w:after="0" w:line="240" w:lineRule="auto"/>
      </w:pPr>
    </w:p>
  </w:footnote>
  <w:footnote w:id="2">
    <w:p w14:paraId="1792FD64" w14:textId="43FB9EDB" w:rsidR="00F52143" w:rsidRPr="002C4119" w:rsidRDefault="00F52143">
      <w:pPr>
        <w:pStyle w:val="FootnoteText"/>
        <w:rPr>
          <w:rFonts w:ascii="Century Schoolbook" w:hAnsi="Century Schoolbook"/>
        </w:rPr>
      </w:pPr>
      <w:r w:rsidRPr="002C4119">
        <w:rPr>
          <w:rStyle w:val="FootnoteReference"/>
          <w:rFonts w:ascii="Century Schoolbook" w:hAnsi="Century Schoolbook"/>
        </w:rPr>
        <w:footnoteRef/>
      </w:r>
      <w:r w:rsidRPr="002C4119">
        <w:rPr>
          <w:rFonts w:ascii="Century Schoolbook" w:hAnsi="Century Schoolbook"/>
        </w:rPr>
        <w:t xml:space="preserve"> </w:t>
      </w:r>
      <w:r w:rsidRPr="002C4119">
        <w:rPr>
          <w:rFonts w:ascii="Century Schoolbook" w:hAnsi="Century Schoolbook"/>
          <w:i/>
          <w:iCs/>
        </w:rPr>
        <w:t>Ake v. Oklahoma</w:t>
      </w:r>
      <w:r w:rsidRPr="002C4119">
        <w:rPr>
          <w:rFonts w:ascii="Century Schoolbook" w:hAnsi="Century Schoolbook"/>
        </w:rPr>
        <w:t>, 470 U.S. 68, 77 (1985).</w:t>
      </w:r>
    </w:p>
  </w:footnote>
  <w:footnote w:id="3">
    <w:p w14:paraId="5704B53C" w14:textId="6F2219C0" w:rsidR="00C86F05" w:rsidRDefault="00C86F0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C4119">
        <w:rPr>
          <w:rFonts w:ascii="Century Schoolbook" w:hAnsi="Century Schoolbook"/>
        </w:rPr>
        <w:t>Tex. Crim. Proc. Code Ann. Art. 26.04</w:t>
      </w:r>
      <w:r w:rsidR="00B45219">
        <w:rPr>
          <w:rFonts w:ascii="Century Schoolbook" w:hAnsi="Century Schoolbook"/>
        </w:rPr>
        <w:t>.</w:t>
      </w:r>
    </w:p>
  </w:footnote>
  <w:footnote w:id="4">
    <w:p w14:paraId="3564A83B" w14:textId="551EC853" w:rsidR="00B44C59" w:rsidRPr="002C4119" w:rsidRDefault="00B44C59">
      <w:pPr>
        <w:pStyle w:val="FootnoteText"/>
        <w:rPr>
          <w:rFonts w:ascii="Century Schoolbook" w:hAnsi="Century Schoolbook"/>
        </w:rPr>
      </w:pPr>
      <w:r w:rsidRPr="002C4119">
        <w:rPr>
          <w:rStyle w:val="FootnoteReference"/>
          <w:rFonts w:ascii="Century Schoolbook" w:hAnsi="Century Schoolbook"/>
        </w:rPr>
        <w:footnoteRef/>
      </w:r>
      <w:r w:rsidRPr="002C4119">
        <w:rPr>
          <w:rFonts w:ascii="Century Schoolbook" w:hAnsi="Century Schoolbook"/>
        </w:rPr>
        <w:t xml:space="preserve"> </w:t>
      </w:r>
      <w:r w:rsidR="00C86F05" w:rsidRPr="002C4119">
        <w:rPr>
          <w:rFonts w:ascii="Century Schoolbook" w:hAnsi="Century Schoolbook"/>
        </w:rPr>
        <w:t>Tex. Crim. Proc. Code Ann. Art. 26.0</w:t>
      </w:r>
      <w:r w:rsidR="00C86F05">
        <w:rPr>
          <w:rFonts w:ascii="Century Schoolbook" w:hAnsi="Century Schoolbook"/>
        </w:rPr>
        <w:t xml:space="preserve">5(d). </w:t>
      </w:r>
    </w:p>
  </w:footnote>
  <w:footnote w:id="5">
    <w:p w14:paraId="50328D44" w14:textId="0893DBF9" w:rsidR="00FA10C6" w:rsidRPr="002C4119" w:rsidRDefault="00FA10C6" w:rsidP="008D7AFD">
      <w:pPr>
        <w:pStyle w:val="EndnoteText"/>
        <w:rPr>
          <w:rFonts w:ascii="Century Schoolbook" w:hAnsi="Century Schoolbook"/>
        </w:rPr>
      </w:pPr>
      <w:r w:rsidRPr="002C4119">
        <w:rPr>
          <w:rStyle w:val="FootnoteReference"/>
          <w:rFonts w:ascii="Century Schoolbook" w:hAnsi="Century Schoolbook"/>
        </w:rPr>
        <w:footnoteRef/>
      </w:r>
      <w:r w:rsidRPr="002C4119">
        <w:rPr>
          <w:rFonts w:ascii="Century Schoolbook" w:hAnsi="Century Schoolbook"/>
        </w:rPr>
        <w:t xml:space="preserve"> </w:t>
      </w:r>
      <w:bookmarkStart w:id="1" w:name="_Hlk38964844"/>
      <w:r w:rsidR="00C83386" w:rsidRPr="002C4119">
        <w:rPr>
          <w:rFonts w:ascii="Century Schoolbook" w:hAnsi="Century Schoolbook"/>
          <w:i/>
          <w:iCs/>
        </w:rPr>
        <w:t>Padilla v. Kentucky</w:t>
      </w:r>
      <w:r w:rsidR="00C83386" w:rsidRPr="002C4119">
        <w:rPr>
          <w:rFonts w:ascii="Century Schoolbook" w:hAnsi="Century Schoolbook"/>
        </w:rPr>
        <w:t xml:space="preserve">, 559 U.S. 356 (2010). </w:t>
      </w:r>
    </w:p>
    <w:bookmarkEnd w:id="1"/>
  </w:footnote>
  <w:footnote w:id="6">
    <w:p w14:paraId="73E1F941" w14:textId="3485415B" w:rsidR="00DA7F8B" w:rsidRPr="002C4119" w:rsidRDefault="00DA7F8B" w:rsidP="00FB648E">
      <w:pPr>
        <w:shd w:val="clear" w:color="auto" w:fill="FFFFFF"/>
        <w:spacing w:after="0" w:line="240" w:lineRule="auto"/>
        <w:textAlignment w:val="baseline"/>
        <w:rPr>
          <w:rFonts w:ascii="Century Schoolbook" w:eastAsia="Times New Roman" w:hAnsi="Century Schoolbook" w:cs="Times New Roman"/>
          <w:sz w:val="20"/>
          <w:szCs w:val="20"/>
        </w:rPr>
      </w:pPr>
      <w:r w:rsidRPr="002C4119">
        <w:rPr>
          <w:rStyle w:val="FootnoteReference"/>
          <w:rFonts w:ascii="Century Schoolbook" w:hAnsi="Century Schoolbook"/>
          <w:sz w:val="20"/>
          <w:szCs w:val="20"/>
        </w:rPr>
        <w:footnoteRef/>
      </w:r>
      <w:r w:rsidRPr="006278BF">
        <w:rPr>
          <w:rFonts w:ascii="Century Schoolbook" w:hAnsi="Century Schoolbook"/>
          <w:sz w:val="20"/>
          <w:szCs w:val="20"/>
          <w:lang w:val="es-MX"/>
        </w:rPr>
        <w:t xml:space="preserve"> </w:t>
      </w:r>
      <w:proofErr w:type="spellStart"/>
      <w:r w:rsidR="008D7AFD" w:rsidRPr="006278BF">
        <w:rPr>
          <w:rFonts w:ascii="Century Schoolbook" w:hAnsi="Century Schoolbook" w:cs="Times New Roman"/>
          <w:i/>
          <w:iCs/>
          <w:sz w:val="20"/>
          <w:szCs w:val="20"/>
          <w:lang w:val="es-MX"/>
        </w:rPr>
        <w:t>See</w:t>
      </w:r>
      <w:proofErr w:type="spellEnd"/>
      <w:r w:rsidR="008D7AFD" w:rsidRPr="006278BF">
        <w:rPr>
          <w:rFonts w:ascii="Century Schoolbook" w:hAnsi="Century Schoolbook" w:cs="Times New Roman"/>
          <w:i/>
          <w:iCs/>
          <w:sz w:val="20"/>
          <w:szCs w:val="20"/>
          <w:lang w:val="es-MX"/>
        </w:rPr>
        <w:t xml:space="preserve"> Ex Parte Torres, </w:t>
      </w:r>
      <w:r w:rsidR="008D7AFD" w:rsidRPr="006278BF">
        <w:rPr>
          <w:rFonts w:ascii="Century Schoolbook" w:hAnsi="Century Schoolbook" w:cs="Times New Roman"/>
          <w:sz w:val="20"/>
          <w:szCs w:val="20"/>
          <w:lang w:val="es-MX"/>
        </w:rPr>
        <w:t>483 S.W.3d 35 (Tex.</w:t>
      </w:r>
      <w:r w:rsidR="006278BF" w:rsidRPr="006278BF">
        <w:rPr>
          <w:rFonts w:ascii="Century Schoolbook" w:hAnsi="Century Schoolbook" w:cs="Times New Roman"/>
          <w:sz w:val="20"/>
          <w:szCs w:val="20"/>
          <w:lang w:val="es-MX"/>
        </w:rPr>
        <w:t xml:space="preserve"> </w:t>
      </w:r>
      <w:r w:rsidR="008D7AFD" w:rsidRPr="002C4119">
        <w:rPr>
          <w:rFonts w:ascii="Century Schoolbook" w:hAnsi="Century Schoolbook" w:cs="Times New Roman"/>
          <w:sz w:val="20"/>
          <w:szCs w:val="20"/>
        </w:rPr>
        <w:t>Crim.</w:t>
      </w:r>
      <w:r w:rsidR="006278BF">
        <w:rPr>
          <w:rFonts w:ascii="Century Schoolbook" w:hAnsi="Century Schoolbook" w:cs="Times New Roman"/>
          <w:sz w:val="20"/>
          <w:szCs w:val="20"/>
        </w:rPr>
        <w:t xml:space="preserve"> </w:t>
      </w:r>
      <w:r w:rsidR="008D7AFD" w:rsidRPr="002C4119">
        <w:rPr>
          <w:rFonts w:ascii="Century Schoolbook" w:hAnsi="Century Schoolbook" w:cs="Times New Roman"/>
          <w:sz w:val="20"/>
          <w:szCs w:val="20"/>
        </w:rPr>
        <w:t>App. 2016)</w:t>
      </w:r>
      <w:r w:rsidR="008D7AFD" w:rsidRPr="002C4119">
        <w:rPr>
          <w:rFonts w:ascii="Century Schoolbook" w:hAnsi="Century Schoolbook" w:cs="Times New Roman"/>
          <w:i/>
          <w:iCs/>
          <w:sz w:val="20"/>
          <w:szCs w:val="20"/>
        </w:rPr>
        <w:t xml:space="preserve"> </w:t>
      </w:r>
      <w:r w:rsidR="008D7AFD" w:rsidRPr="002C4119">
        <w:rPr>
          <w:rFonts w:ascii="Century Schoolbook" w:hAnsi="Century Schoolbook" w:cs="Times New Roman"/>
          <w:sz w:val="20"/>
          <w:szCs w:val="20"/>
        </w:rPr>
        <w:t>(</w:t>
      </w:r>
      <w:r w:rsidR="00FA6DF0">
        <w:rPr>
          <w:rFonts w:ascii="Century Schoolbook" w:hAnsi="Century Schoolbook" w:cs="Times New Roman"/>
          <w:sz w:val="20"/>
          <w:szCs w:val="20"/>
        </w:rPr>
        <w:t xml:space="preserve">finding </w:t>
      </w:r>
      <w:r w:rsidR="008D7AFD" w:rsidRPr="002C4119">
        <w:rPr>
          <w:rFonts w:ascii="Century Schoolbook" w:hAnsi="Century Schoolbook" w:cs="Times New Roman"/>
          <w:sz w:val="20"/>
          <w:szCs w:val="20"/>
        </w:rPr>
        <w:t>attorney ineffective where he</w:t>
      </w:r>
      <w:r w:rsidR="008D7AFD" w:rsidRPr="002C4119">
        <w:rPr>
          <w:rFonts w:ascii="Century Schoolbook" w:hAnsi="Century Schoolbook" w:cs="Times New Roman"/>
          <w:i/>
          <w:iCs/>
          <w:sz w:val="20"/>
          <w:szCs w:val="20"/>
        </w:rPr>
        <w:t xml:space="preserve"> </w:t>
      </w:r>
      <w:r w:rsidR="008D7AFD" w:rsidRPr="002C4119">
        <w:rPr>
          <w:rFonts w:ascii="Century Schoolbook" w:hAnsi="Century Schoolbook" w:cs="Times New Roman"/>
          <w:sz w:val="20"/>
          <w:szCs w:val="20"/>
        </w:rPr>
        <w:t>told client to consult an immigration lawyer, said that the plea could result in immigration consequences, and recommended that client get an immigration lawyer if he ultimately faced immigration consequences)</w:t>
      </w:r>
      <w:r w:rsidR="00FB648E" w:rsidRPr="002C4119">
        <w:rPr>
          <w:rFonts w:ascii="Century Schoolbook" w:hAnsi="Century Schoolbook" w:cs="Times New Roman"/>
          <w:sz w:val="20"/>
          <w:szCs w:val="20"/>
        </w:rPr>
        <w:t xml:space="preserve">; </w:t>
      </w:r>
      <w:r w:rsidR="00FB648E" w:rsidRPr="002C4119">
        <w:rPr>
          <w:rFonts w:ascii="Century Schoolbook" w:eastAsia="Times New Roman" w:hAnsi="Century Schoolbook" w:cs="Times New Roman"/>
          <w:i/>
          <w:iCs/>
          <w:color w:val="000000"/>
          <w:sz w:val="20"/>
          <w:szCs w:val="20"/>
          <w:bdr w:val="none" w:sz="0" w:space="0" w:color="auto" w:frame="1"/>
        </w:rPr>
        <w:t>Ex parte Castaneda</w:t>
      </w:r>
      <w:r w:rsidR="00FB648E" w:rsidRPr="002C4119">
        <w:rPr>
          <w:rFonts w:ascii="Century Schoolbook" w:eastAsia="Times New Roman" w:hAnsi="Century Schoolbook" w:cs="Times New Roman"/>
          <w:color w:val="000000"/>
          <w:sz w:val="20"/>
          <w:szCs w:val="20"/>
        </w:rPr>
        <w:t>, No. 05-17-01135-CR, 2018 WL 992024, at *</w:t>
      </w:r>
      <w:r w:rsidR="00FB648E" w:rsidRPr="00D50D9D">
        <w:rPr>
          <w:rFonts w:ascii="Century Schoolbook" w:eastAsia="Times New Roman" w:hAnsi="Century Schoolbook" w:cs="Times New Roman"/>
          <w:color w:val="000000"/>
          <w:sz w:val="20"/>
          <w:szCs w:val="20"/>
        </w:rPr>
        <w:t>4 (Tex.</w:t>
      </w:r>
      <w:r w:rsidR="006278BF">
        <w:rPr>
          <w:rFonts w:ascii="Century Schoolbook" w:eastAsia="Times New Roman" w:hAnsi="Century Schoolbook" w:cs="Times New Roman"/>
          <w:color w:val="000000"/>
          <w:sz w:val="20"/>
          <w:szCs w:val="20"/>
        </w:rPr>
        <w:t xml:space="preserve"> </w:t>
      </w:r>
      <w:r w:rsidR="00FB648E" w:rsidRPr="00D50D9D">
        <w:rPr>
          <w:rFonts w:ascii="Century Schoolbook" w:eastAsia="Times New Roman" w:hAnsi="Century Schoolbook" w:cs="Times New Roman"/>
          <w:color w:val="000000"/>
          <w:sz w:val="20"/>
          <w:szCs w:val="20"/>
        </w:rPr>
        <w:t>App.</w:t>
      </w:r>
      <w:r w:rsidR="00D50D9D" w:rsidRPr="00D50D9D">
        <w:rPr>
          <w:rFonts w:ascii="Century Schoolbook" w:eastAsia="Times New Roman" w:hAnsi="Century Schoolbook" w:cs="Times New Roman"/>
          <w:color w:val="000000"/>
          <w:sz w:val="20"/>
          <w:szCs w:val="20"/>
        </w:rPr>
        <w:t>—</w:t>
      </w:r>
      <w:r w:rsidR="00FB648E" w:rsidRPr="00D50D9D">
        <w:rPr>
          <w:rFonts w:ascii="Century Schoolbook" w:eastAsia="Times New Roman" w:hAnsi="Century Schoolbook" w:cs="Times New Roman"/>
          <w:color w:val="000000"/>
          <w:sz w:val="20"/>
          <w:szCs w:val="20"/>
        </w:rPr>
        <w:t>Dallas 2018) (</w:t>
      </w:r>
      <w:r w:rsidR="00FA6DF0">
        <w:rPr>
          <w:rFonts w:ascii="Century Schoolbook" w:eastAsia="Times New Roman" w:hAnsi="Century Schoolbook" w:cs="Times New Roman"/>
          <w:color w:val="000000"/>
          <w:sz w:val="20"/>
          <w:szCs w:val="20"/>
        </w:rPr>
        <w:t xml:space="preserve">holding it a </w:t>
      </w:r>
      <w:r w:rsidR="00FB648E" w:rsidRPr="00D50D9D">
        <w:rPr>
          <w:rFonts w:ascii="Century Schoolbook" w:eastAsia="Times New Roman" w:hAnsi="Century Schoolbook" w:cs="Times New Roman"/>
          <w:color w:val="000000"/>
          <w:sz w:val="20"/>
          <w:szCs w:val="20"/>
        </w:rPr>
        <w:t xml:space="preserve">violation of first prong of </w:t>
      </w:r>
      <w:r w:rsidR="00FB648E" w:rsidRPr="00D50D9D">
        <w:rPr>
          <w:rFonts w:ascii="Century Schoolbook" w:eastAsia="Times New Roman" w:hAnsi="Century Schoolbook" w:cs="Times New Roman"/>
          <w:i/>
          <w:iCs/>
          <w:color w:val="000000"/>
          <w:sz w:val="20"/>
          <w:szCs w:val="20"/>
        </w:rPr>
        <w:t xml:space="preserve">Strickland </w:t>
      </w:r>
      <w:r w:rsidR="00FB648E" w:rsidRPr="00D50D9D">
        <w:rPr>
          <w:rFonts w:ascii="Century Schoolbook" w:eastAsia="Times New Roman" w:hAnsi="Century Schoolbook" w:cs="Times New Roman"/>
          <w:color w:val="000000"/>
          <w:sz w:val="20"/>
          <w:szCs w:val="20"/>
        </w:rPr>
        <w:t>where “</w:t>
      </w:r>
      <w:r w:rsidR="00FB648E" w:rsidRPr="00D50D9D">
        <w:rPr>
          <w:rFonts w:ascii="Century Schoolbook" w:eastAsia="Times New Roman" w:hAnsi="Century Schoolbook" w:cs="Times New Roman"/>
          <w:color w:val="000000"/>
          <w:sz w:val="20"/>
          <w:szCs w:val="20"/>
          <w:shd w:val="clear" w:color="auto" w:fill="FFFFFF"/>
        </w:rPr>
        <w:t>trial counsel admitted that he did not offer appellant any immigration advice and instructed him to contact an </w:t>
      </w:r>
      <w:r w:rsidR="00FB648E" w:rsidRPr="00D50D9D">
        <w:rPr>
          <w:rFonts w:ascii="Century Schoolbook" w:eastAsia="Times New Roman" w:hAnsi="Century Schoolbook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immigration</w:t>
      </w:r>
      <w:r w:rsidR="00FB648E" w:rsidRPr="00D50D9D">
        <w:rPr>
          <w:rFonts w:ascii="Century Schoolbook" w:eastAsia="Times New Roman" w:hAnsi="Century Schoolbook" w:cs="Times New Roman"/>
          <w:color w:val="000000"/>
          <w:sz w:val="20"/>
          <w:szCs w:val="20"/>
          <w:shd w:val="clear" w:color="auto" w:fill="FFFFFF"/>
        </w:rPr>
        <w:t> </w:t>
      </w:r>
      <w:r w:rsidR="00FB648E" w:rsidRPr="00D50D9D">
        <w:rPr>
          <w:rFonts w:ascii="Century Schoolbook" w:eastAsia="Times New Roman" w:hAnsi="Century Schoolbook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lawyer</w:t>
      </w:r>
      <w:r w:rsidR="00FB648E" w:rsidRPr="00D50D9D">
        <w:rPr>
          <w:rFonts w:ascii="Century Schoolbook" w:eastAsia="Times New Roman" w:hAnsi="Century Schoolbook" w:cs="Times New Roman"/>
          <w:color w:val="000000"/>
          <w:sz w:val="20"/>
          <w:szCs w:val="20"/>
          <w:shd w:val="clear" w:color="auto" w:fill="FFFFFF"/>
        </w:rPr>
        <w:t> and satisfy himself about the imm</w:t>
      </w:r>
      <w:r w:rsidR="00FB648E" w:rsidRPr="002C4119">
        <w:rPr>
          <w:rFonts w:ascii="Century Schoolbook" w:eastAsia="Times New Roman" w:hAnsi="Century Schoolbook" w:cs="Times New Roman"/>
          <w:color w:val="000000"/>
          <w:sz w:val="20"/>
          <w:szCs w:val="20"/>
          <w:shd w:val="clear" w:color="auto" w:fill="FFFFFF"/>
        </w:rPr>
        <w:t>igration consequences of the plea”)</w:t>
      </w:r>
      <w:r w:rsidR="00FA6DF0">
        <w:rPr>
          <w:rFonts w:ascii="Century Schoolbook" w:eastAsia="Times New Roman" w:hAnsi="Century Schoolbook" w:cs="Times New Roman"/>
          <w:color w:val="000000"/>
          <w:sz w:val="20"/>
          <w:szCs w:val="20"/>
          <w:shd w:val="clear" w:color="auto" w:fill="FFFFFF"/>
        </w:rPr>
        <w:t>.</w:t>
      </w:r>
    </w:p>
  </w:footnote>
  <w:footnote w:id="7">
    <w:p w14:paraId="55627D5B" w14:textId="4FB63F10" w:rsidR="00DA7F8B" w:rsidRPr="002C4119" w:rsidRDefault="00DA7F8B" w:rsidP="00375C4E">
      <w:pPr>
        <w:rPr>
          <w:rFonts w:ascii="Century Schoolbook" w:hAnsi="Century Schoolbook"/>
          <w:sz w:val="20"/>
          <w:szCs w:val="20"/>
        </w:rPr>
      </w:pPr>
      <w:r w:rsidRPr="002C4119">
        <w:rPr>
          <w:rStyle w:val="FootnoteReference"/>
          <w:rFonts w:ascii="Century Schoolbook" w:hAnsi="Century Schoolbook"/>
          <w:sz w:val="20"/>
          <w:szCs w:val="20"/>
        </w:rPr>
        <w:footnoteRef/>
      </w:r>
      <w:r w:rsidRPr="002C4119">
        <w:rPr>
          <w:rFonts w:ascii="Century Schoolbook" w:hAnsi="Century Schoolbook"/>
          <w:sz w:val="20"/>
          <w:szCs w:val="20"/>
        </w:rPr>
        <w:t xml:space="preserve"> </w:t>
      </w:r>
      <w:r w:rsidR="00404D91" w:rsidRPr="002C4119">
        <w:rPr>
          <w:rFonts w:ascii="Century Schoolbook" w:hAnsi="Century Schoolbook" w:cs="Times New Roman"/>
          <w:i/>
          <w:iCs/>
          <w:sz w:val="20"/>
          <w:szCs w:val="20"/>
        </w:rPr>
        <w:t>Ex Parte De Los Reyes</w:t>
      </w:r>
      <w:r w:rsidR="00404D91" w:rsidRPr="002C4119">
        <w:rPr>
          <w:rFonts w:ascii="Century Schoolbook" w:hAnsi="Century Schoolbook" w:cs="Times New Roman"/>
          <w:sz w:val="20"/>
          <w:szCs w:val="20"/>
        </w:rPr>
        <w:t>, 350 S.W.3d 723 (Tex.</w:t>
      </w:r>
      <w:r w:rsidR="006278BF">
        <w:rPr>
          <w:rFonts w:ascii="Century Schoolbook" w:hAnsi="Century Schoolbook" w:cs="Times New Roman"/>
          <w:sz w:val="20"/>
          <w:szCs w:val="20"/>
        </w:rPr>
        <w:t xml:space="preserve"> </w:t>
      </w:r>
      <w:r w:rsidR="00404D91" w:rsidRPr="002C4119">
        <w:rPr>
          <w:rFonts w:ascii="Century Schoolbook" w:hAnsi="Century Schoolbook" w:cs="Times New Roman"/>
          <w:sz w:val="20"/>
          <w:szCs w:val="20"/>
        </w:rPr>
        <w:t>App.</w:t>
      </w:r>
      <w:r w:rsidR="006278BF">
        <w:rPr>
          <w:rFonts w:ascii="Century Schoolbook" w:hAnsi="Century Schoolbook" w:cs="Times New Roman"/>
          <w:sz w:val="20"/>
          <w:szCs w:val="20"/>
        </w:rPr>
        <w:t>—</w:t>
      </w:r>
      <w:r w:rsidR="00404D91" w:rsidRPr="002C4119">
        <w:rPr>
          <w:rFonts w:ascii="Century Schoolbook" w:hAnsi="Century Schoolbook" w:cs="Times New Roman"/>
          <w:sz w:val="20"/>
          <w:szCs w:val="20"/>
        </w:rPr>
        <w:t xml:space="preserve">El Paso 2011) (finding that statement in plea papers did not satisfy counsel’s duty), </w:t>
      </w:r>
      <w:proofErr w:type="spellStart"/>
      <w:r w:rsidR="00404D91" w:rsidRPr="002C4119">
        <w:rPr>
          <w:rFonts w:ascii="Century Schoolbook" w:hAnsi="Century Schoolbook" w:cs="Times New Roman"/>
          <w:i/>
          <w:iCs/>
          <w:sz w:val="20"/>
          <w:szCs w:val="20"/>
        </w:rPr>
        <w:t>rev’d</w:t>
      </w:r>
      <w:proofErr w:type="spellEnd"/>
      <w:r w:rsidR="00404D91" w:rsidRPr="002C4119">
        <w:rPr>
          <w:rFonts w:ascii="Century Schoolbook" w:hAnsi="Century Schoolbook" w:cs="Times New Roman"/>
          <w:i/>
          <w:iCs/>
          <w:sz w:val="20"/>
          <w:szCs w:val="20"/>
        </w:rPr>
        <w:t xml:space="preserve"> on other grounds</w:t>
      </w:r>
      <w:r w:rsidR="00404D91" w:rsidRPr="002C4119">
        <w:rPr>
          <w:rFonts w:ascii="Century Schoolbook" w:hAnsi="Century Schoolbook" w:cs="Times New Roman"/>
          <w:sz w:val="20"/>
          <w:szCs w:val="20"/>
        </w:rPr>
        <w:t>, 392 S.W.3d 675 (Tex.</w:t>
      </w:r>
      <w:r w:rsidR="006278BF">
        <w:rPr>
          <w:rFonts w:ascii="Century Schoolbook" w:hAnsi="Century Schoolbook" w:cs="Times New Roman"/>
          <w:sz w:val="20"/>
          <w:szCs w:val="20"/>
        </w:rPr>
        <w:t xml:space="preserve"> </w:t>
      </w:r>
      <w:r w:rsidR="00404D91" w:rsidRPr="002C4119">
        <w:rPr>
          <w:rFonts w:ascii="Century Schoolbook" w:hAnsi="Century Schoolbook" w:cs="Times New Roman"/>
          <w:sz w:val="20"/>
          <w:szCs w:val="20"/>
        </w:rPr>
        <w:t>Crim.</w:t>
      </w:r>
      <w:r w:rsidR="006278BF">
        <w:rPr>
          <w:rFonts w:ascii="Century Schoolbook" w:hAnsi="Century Schoolbook" w:cs="Times New Roman"/>
          <w:sz w:val="20"/>
          <w:szCs w:val="20"/>
        </w:rPr>
        <w:t xml:space="preserve"> </w:t>
      </w:r>
      <w:r w:rsidR="00404D91" w:rsidRPr="002C4119">
        <w:rPr>
          <w:rFonts w:ascii="Century Schoolbook" w:hAnsi="Century Schoolbook" w:cs="Times New Roman"/>
          <w:sz w:val="20"/>
          <w:szCs w:val="20"/>
        </w:rPr>
        <w:t xml:space="preserve">App. 2013); </w:t>
      </w:r>
      <w:r w:rsidR="00404D91" w:rsidRPr="002C4119">
        <w:rPr>
          <w:rFonts w:ascii="Century Schoolbook" w:hAnsi="Century Schoolbook" w:cs="Times New Roman"/>
          <w:i/>
          <w:iCs/>
          <w:sz w:val="20"/>
          <w:szCs w:val="20"/>
        </w:rPr>
        <w:t>Ex Parte Romero</w:t>
      </w:r>
      <w:r w:rsidR="00404D91" w:rsidRPr="002C4119">
        <w:rPr>
          <w:rFonts w:ascii="Century Schoolbook" w:hAnsi="Century Schoolbook" w:cs="Times New Roman"/>
          <w:sz w:val="20"/>
          <w:szCs w:val="20"/>
        </w:rPr>
        <w:t>, 351 S.W.3d 127 (Tex.</w:t>
      </w:r>
      <w:r w:rsidR="006278BF">
        <w:rPr>
          <w:rFonts w:ascii="Century Schoolbook" w:hAnsi="Century Schoolbook" w:cs="Times New Roman"/>
          <w:sz w:val="20"/>
          <w:szCs w:val="20"/>
        </w:rPr>
        <w:t xml:space="preserve"> </w:t>
      </w:r>
      <w:r w:rsidR="00404D91" w:rsidRPr="002C4119">
        <w:rPr>
          <w:rFonts w:ascii="Century Schoolbook" w:hAnsi="Century Schoolbook" w:cs="Times New Roman"/>
          <w:sz w:val="20"/>
          <w:szCs w:val="20"/>
        </w:rPr>
        <w:t>App.</w:t>
      </w:r>
      <w:r w:rsidR="006278BF">
        <w:rPr>
          <w:rFonts w:ascii="Century Schoolbook" w:hAnsi="Century Schoolbook" w:cs="Times New Roman"/>
          <w:sz w:val="20"/>
          <w:szCs w:val="20"/>
        </w:rPr>
        <w:t>—</w:t>
      </w:r>
      <w:r w:rsidR="00404D91" w:rsidRPr="002C4119">
        <w:rPr>
          <w:rFonts w:ascii="Century Schoolbook" w:hAnsi="Century Schoolbook" w:cs="Times New Roman"/>
          <w:sz w:val="20"/>
          <w:szCs w:val="20"/>
        </w:rPr>
        <w:t xml:space="preserve">San Antonio 2011) (finding counsel’s duty not met by trial court admonishment), </w:t>
      </w:r>
      <w:r w:rsidR="00404D91" w:rsidRPr="002C4119">
        <w:rPr>
          <w:rFonts w:ascii="Century Schoolbook" w:hAnsi="Century Schoolbook" w:cs="Times New Roman"/>
          <w:i/>
          <w:iCs/>
          <w:sz w:val="20"/>
          <w:szCs w:val="20"/>
        </w:rPr>
        <w:t>vacated on other grounds</w:t>
      </w:r>
      <w:r w:rsidR="00404D91" w:rsidRPr="002C4119">
        <w:rPr>
          <w:rFonts w:ascii="Century Schoolbook" w:hAnsi="Century Schoolbook" w:cs="Times New Roman"/>
          <w:sz w:val="20"/>
          <w:szCs w:val="20"/>
        </w:rPr>
        <w:t>, 393 S.W.3d 788 (Tex.</w:t>
      </w:r>
      <w:r w:rsidR="006278BF">
        <w:rPr>
          <w:rFonts w:ascii="Century Schoolbook" w:hAnsi="Century Schoolbook" w:cs="Times New Roman"/>
          <w:sz w:val="20"/>
          <w:szCs w:val="20"/>
        </w:rPr>
        <w:t xml:space="preserve"> </w:t>
      </w:r>
      <w:r w:rsidR="00404D91" w:rsidRPr="002C4119">
        <w:rPr>
          <w:rFonts w:ascii="Century Schoolbook" w:hAnsi="Century Schoolbook" w:cs="Times New Roman"/>
          <w:sz w:val="20"/>
          <w:szCs w:val="20"/>
        </w:rPr>
        <w:t>Crim.</w:t>
      </w:r>
      <w:r w:rsidR="006278BF">
        <w:rPr>
          <w:rFonts w:ascii="Century Schoolbook" w:hAnsi="Century Schoolbook" w:cs="Times New Roman"/>
          <w:sz w:val="20"/>
          <w:szCs w:val="20"/>
        </w:rPr>
        <w:t xml:space="preserve"> </w:t>
      </w:r>
      <w:r w:rsidR="00404D91" w:rsidRPr="002C4119">
        <w:rPr>
          <w:rFonts w:ascii="Century Schoolbook" w:hAnsi="Century Schoolbook" w:cs="Times New Roman"/>
          <w:sz w:val="20"/>
          <w:szCs w:val="20"/>
        </w:rPr>
        <w:t>App. 2013).</w:t>
      </w:r>
    </w:p>
  </w:footnote>
  <w:footnote w:id="8">
    <w:p w14:paraId="68B13FCF" w14:textId="6C1EB2BC" w:rsidR="00013B9E" w:rsidRPr="002C4119" w:rsidRDefault="00013B9E" w:rsidP="00013B9E">
      <w:pPr>
        <w:pStyle w:val="FootnoteText"/>
        <w:rPr>
          <w:rFonts w:ascii="Century Schoolbook" w:hAnsi="Century Schoolbook"/>
        </w:rPr>
      </w:pPr>
      <w:r w:rsidRPr="002C4119">
        <w:rPr>
          <w:rStyle w:val="FootnoteReference"/>
          <w:rFonts w:ascii="Century Schoolbook" w:hAnsi="Century Schoolbook"/>
        </w:rPr>
        <w:footnoteRef/>
      </w:r>
      <w:r w:rsidRPr="002C4119">
        <w:rPr>
          <w:rFonts w:ascii="Century Schoolbook" w:hAnsi="Century Schoolbook"/>
          <w:lang w:val="es-MX"/>
        </w:rPr>
        <w:t xml:space="preserve"> </w:t>
      </w:r>
      <w:r w:rsidRPr="002C4119">
        <w:rPr>
          <w:rFonts w:ascii="Century Schoolbook" w:hAnsi="Century Schoolbook"/>
          <w:i/>
          <w:iCs/>
          <w:lang w:val="es-MX"/>
        </w:rPr>
        <w:t>Ex Parte Aguilar</w:t>
      </w:r>
      <w:r w:rsidRPr="002C4119">
        <w:rPr>
          <w:rFonts w:ascii="Century Schoolbook" w:hAnsi="Century Schoolbook"/>
          <w:lang w:val="es-MX"/>
        </w:rPr>
        <w:t xml:space="preserve">, 537 S.W.3d 122, 127-28 (Tex. </w:t>
      </w:r>
      <w:r w:rsidRPr="002C4119">
        <w:rPr>
          <w:rFonts w:ascii="Century Schoolbook" w:hAnsi="Century Schoolbook"/>
        </w:rPr>
        <w:t>Crim. App. 2017) (</w:t>
      </w:r>
      <w:r w:rsidRPr="002C4119">
        <w:rPr>
          <w:rFonts w:ascii="Century Schoolbook" w:hAnsi="Century Schoolbook"/>
          <w:shd w:val="clear" w:color="auto" w:fill="FFFFFF"/>
        </w:rPr>
        <w:t xml:space="preserve">extending </w:t>
      </w:r>
      <w:r w:rsidRPr="002C4119">
        <w:rPr>
          <w:rFonts w:ascii="Century Schoolbook" w:hAnsi="Century Schoolbook"/>
          <w:i/>
          <w:iCs/>
          <w:shd w:val="clear" w:color="auto" w:fill="FFFFFF"/>
        </w:rPr>
        <w:t>Padilla</w:t>
      </w:r>
      <w:r w:rsidRPr="002C4119">
        <w:rPr>
          <w:rFonts w:ascii="Century Schoolbook" w:hAnsi="Century Schoolbook"/>
          <w:shd w:val="clear" w:color="auto" w:fill="FFFFFF"/>
        </w:rPr>
        <w:t> to circumstance in which the consequence is “loss of legal nonimmigrant status” rather than removal).</w:t>
      </w:r>
    </w:p>
  </w:footnote>
  <w:footnote w:id="9">
    <w:p w14:paraId="0D81926A" w14:textId="71BB5DF6" w:rsidR="003A2412" w:rsidRPr="002C4119" w:rsidRDefault="003A2412">
      <w:pPr>
        <w:pStyle w:val="FootnoteText"/>
        <w:rPr>
          <w:rFonts w:ascii="Century Schoolbook" w:hAnsi="Century Schoolbook"/>
        </w:rPr>
      </w:pPr>
      <w:r w:rsidRPr="002C4119">
        <w:rPr>
          <w:rStyle w:val="FootnoteReference"/>
          <w:rFonts w:ascii="Century Schoolbook" w:hAnsi="Century Schoolbook"/>
        </w:rPr>
        <w:footnoteRef/>
      </w:r>
      <w:r w:rsidRPr="002C4119">
        <w:rPr>
          <w:rFonts w:ascii="Century Schoolbook" w:hAnsi="Century Schoolbook"/>
        </w:rPr>
        <w:t xml:space="preserve"> </w:t>
      </w:r>
      <w:r w:rsidRPr="002C4119">
        <w:rPr>
          <w:rFonts w:ascii="Century Schoolbook" w:hAnsi="Century Schoolbook"/>
          <w:i/>
          <w:iCs/>
        </w:rPr>
        <w:t>Padilla</w:t>
      </w:r>
      <w:r w:rsidRPr="002C4119">
        <w:rPr>
          <w:rFonts w:ascii="Century Schoolbook" w:hAnsi="Century Schoolbook"/>
        </w:rPr>
        <w:t>, 559 U.S. at 373.</w:t>
      </w:r>
    </w:p>
  </w:footnote>
  <w:footnote w:id="10">
    <w:p w14:paraId="0CF15253" w14:textId="77777777" w:rsidR="00595CC7" w:rsidRPr="002C4119" w:rsidRDefault="00595CC7" w:rsidP="00595CC7">
      <w:pPr>
        <w:pStyle w:val="FootnoteText"/>
        <w:rPr>
          <w:rFonts w:ascii="Century Schoolbook" w:hAnsi="Century Schoolbook"/>
        </w:rPr>
      </w:pPr>
      <w:r w:rsidRPr="002C4119">
        <w:rPr>
          <w:rStyle w:val="FootnoteReference"/>
          <w:rFonts w:ascii="Century Schoolbook" w:hAnsi="Century Schoolbook"/>
        </w:rPr>
        <w:footnoteRef/>
      </w:r>
      <w:r w:rsidRPr="002C4119">
        <w:rPr>
          <w:rFonts w:ascii="Century Schoolbook" w:hAnsi="Century Schoolbook"/>
        </w:rPr>
        <w:t xml:space="preserve"> </w:t>
      </w:r>
      <w:r w:rsidRPr="002C4119">
        <w:rPr>
          <w:rFonts w:ascii="Century Schoolbook" w:hAnsi="Century Schoolbook"/>
          <w:i/>
          <w:iCs/>
          <w:shd w:val="clear" w:color="auto" w:fill="FFFFFF"/>
        </w:rPr>
        <w:t>Castro-</w:t>
      </w:r>
      <w:proofErr w:type="spellStart"/>
      <w:r w:rsidRPr="002C4119">
        <w:rPr>
          <w:rFonts w:ascii="Century Schoolbook" w:hAnsi="Century Schoolbook"/>
          <w:i/>
          <w:iCs/>
          <w:shd w:val="clear" w:color="auto" w:fill="FFFFFF"/>
        </w:rPr>
        <w:t>O’Ryan</w:t>
      </w:r>
      <w:proofErr w:type="spellEnd"/>
      <w:r w:rsidRPr="002C4119">
        <w:rPr>
          <w:rFonts w:ascii="Century Schoolbook" w:hAnsi="Century Schoolbook"/>
          <w:i/>
          <w:iCs/>
          <w:shd w:val="clear" w:color="auto" w:fill="FFFFFF"/>
        </w:rPr>
        <w:t xml:space="preserve"> v. U.S. Dept of Immigration &amp; Naturalization</w:t>
      </w:r>
      <w:r w:rsidRPr="002C4119">
        <w:rPr>
          <w:rFonts w:ascii="Century Schoolbook" w:hAnsi="Century Schoolbook"/>
          <w:shd w:val="clear" w:color="auto" w:fill="FFFFFF"/>
        </w:rPr>
        <w:t xml:space="preserve">, 847 F.2d 1307, 1311 (9th Cir. 1988) (internal citations omitted). </w:t>
      </w:r>
    </w:p>
  </w:footnote>
  <w:footnote w:id="11">
    <w:p w14:paraId="20EFF13A" w14:textId="77777777" w:rsidR="00595CC7" w:rsidRPr="002C4119" w:rsidRDefault="00595CC7" w:rsidP="00595CC7">
      <w:pPr>
        <w:pStyle w:val="FootnoteText"/>
        <w:rPr>
          <w:rFonts w:ascii="Century Schoolbook" w:hAnsi="Century Schoolbook"/>
        </w:rPr>
      </w:pPr>
      <w:r w:rsidRPr="002C4119">
        <w:rPr>
          <w:rStyle w:val="FootnoteReference"/>
          <w:rFonts w:ascii="Century Schoolbook" w:hAnsi="Century Schoolbook"/>
        </w:rPr>
        <w:footnoteRef/>
      </w:r>
      <w:r w:rsidRPr="002C4119">
        <w:rPr>
          <w:rFonts w:ascii="Century Schoolbook" w:hAnsi="Century Schoolbook"/>
        </w:rPr>
        <w:t xml:space="preserve"> </w:t>
      </w:r>
      <w:r w:rsidRPr="002C4119">
        <w:rPr>
          <w:rFonts w:ascii="Century Schoolbook" w:eastAsia="Times New Roman" w:hAnsi="Century Schoolbook" w:cs="Times New Roman"/>
          <w:i/>
          <w:iCs/>
        </w:rPr>
        <w:t xml:space="preserve">Padilla </w:t>
      </w:r>
      <w:r w:rsidRPr="002C4119">
        <w:rPr>
          <w:rFonts w:ascii="Century Schoolbook" w:eastAsia="Times New Roman" w:hAnsi="Century Schoolbook" w:cs="Times New Roman"/>
        </w:rPr>
        <w:t>at 378.</w:t>
      </w:r>
    </w:p>
  </w:footnote>
  <w:footnote w:id="12">
    <w:p w14:paraId="300604F4" w14:textId="77777777" w:rsidR="00595CC7" w:rsidRPr="002C4119" w:rsidRDefault="00595CC7" w:rsidP="00595CC7">
      <w:pPr>
        <w:pStyle w:val="FootnoteText"/>
        <w:rPr>
          <w:rFonts w:ascii="Century Schoolbook" w:hAnsi="Century Schoolbook"/>
          <w:highlight w:val="yellow"/>
        </w:rPr>
      </w:pPr>
      <w:r w:rsidRPr="002C4119">
        <w:rPr>
          <w:rStyle w:val="FootnoteReference"/>
          <w:rFonts w:ascii="Century Schoolbook" w:hAnsi="Century Schoolbook"/>
        </w:rPr>
        <w:footnoteRef/>
      </w:r>
      <w:r w:rsidRPr="002C4119">
        <w:rPr>
          <w:rFonts w:ascii="Century Schoolbook" w:hAnsi="Century Schoolbook"/>
        </w:rPr>
        <w:t xml:space="preserve"> </w:t>
      </w:r>
      <w:r w:rsidRPr="002C4119">
        <w:rPr>
          <w:rFonts w:ascii="Century Schoolbook" w:hAnsi="Century Schoolbook"/>
          <w:i/>
          <w:iCs/>
        </w:rPr>
        <w:t>Lok v. Immigration and Naturalization Service</w:t>
      </w:r>
      <w:r w:rsidRPr="002C4119">
        <w:rPr>
          <w:rFonts w:ascii="Century Schoolbook" w:hAnsi="Century Schoolbook"/>
        </w:rPr>
        <w:t>, 548 F.2d 37, 38 (2d Cir. 1977).</w:t>
      </w:r>
    </w:p>
  </w:footnote>
  <w:footnote w:id="13">
    <w:p w14:paraId="71F8D808" w14:textId="77157E51" w:rsidR="00595CC7" w:rsidRPr="002C4119" w:rsidRDefault="00595CC7" w:rsidP="00595CC7">
      <w:pPr>
        <w:spacing w:line="240" w:lineRule="auto"/>
        <w:rPr>
          <w:rFonts w:ascii="Century Schoolbook" w:eastAsia="Times New Roman" w:hAnsi="Century Schoolbook" w:cs="Times New Roman"/>
          <w:sz w:val="20"/>
          <w:szCs w:val="20"/>
        </w:rPr>
      </w:pPr>
      <w:r w:rsidRPr="002C4119">
        <w:rPr>
          <w:rStyle w:val="FootnoteReference"/>
          <w:rFonts w:ascii="Century Schoolbook" w:hAnsi="Century Schoolbook"/>
          <w:sz w:val="20"/>
          <w:szCs w:val="20"/>
        </w:rPr>
        <w:footnoteRef/>
      </w:r>
      <w:r w:rsidRPr="002C4119">
        <w:rPr>
          <w:rFonts w:ascii="Century Schoolbook" w:hAnsi="Century Schoolbook"/>
          <w:sz w:val="20"/>
          <w:szCs w:val="20"/>
        </w:rPr>
        <w:t xml:space="preserve"> </w:t>
      </w:r>
      <w:r w:rsidRPr="002C4119">
        <w:rPr>
          <w:rFonts w:ascii="Century Schoolbook" w:eastAsia="Times New Roman" w:hAnsi="Century Schoolbook" w:cs="Times New Roman"/>
          <w:i/>
          <w:iCs/>
          <w:sz w:val="20"/>
          <w:szCs w:val="20"/>
          <w:bdr w:val="none" w:sz="0" w:space="0" w:color="auto" w:frame="1"/>
        </w:rPr>
        <w:t xml:space="preserve"> Kwon v. Immigration &amp; Naturalization Serv.</w:t>
      </w:r>
      <w:r w:rsidRPr="002C4119">
        <w:rPr>
          <w:rFonts w:ascii="Century Schoolbook" w:eastAsia="Times New Roman" w:hAnsi="Century Schoolbook" w:cs="Times New Roman"/>
          <w:sz w:val="20"/>
          <w:szCs w:val="20"/>
        </w:rPr>
        <w:t>, 646 F.2d 909, 919 (5th Cir. 1981</w:t>
      </w:r>
      <w:r w:rsidR="006278BF">
        <w:rPr>
          <w:rFonts w:ascii="Century Schoolbook" w:eastAsia="Times New Roman" w:hAnsi="Century Schoolbook" w:cs="Times New Roman"/>
          <w:sz w:val="20"/>
          <w:szCs w:val="20"/>
        </w:rPr>
        <w:t>).</w:t>
      </w:r>
    </w:p>
  </w:footnote>
  <w:footnote w:id="14">
    <w:p w14:paraId="7284B17A" w14:textId="5B826732" w:rsidR="00595CC7" w:rsidRPr="002C4119" w:rsidRDefault="00595CC7" w:rsidP="00595CC7">
      <w:pPr>
        <w:pStyle w:val="FootnoteText"/>
        <w:rPr>
          <w:rFonts w:ascii="Century Schoolbook" w:hAnsi="Century Schoolbook"/>
        </w:rPr>
      </w:pPr>
      <w:r w:rsidRPr="002C4119">
        <w:rPr>
          <w:rStyle w:val="FootnoteReference"/>
          <w:rFonts w:ascii="Century Schoolbook" w:hAnsi="Century Schoolbook"/>
        </w:rPr>
        <w:footnoteRef/>
      </w:r>
      <w:r w:rsidRPr="002C4119">
        <w:rPr>
          <w:rFonts w:ascii="Century Schoolbook" w:hAnsi="Century Schoolbook"/>
        </w:rPr>
        <w:t xml:space="preserve"> </w:t>
      </w:r>
      <w:r w:rsidRPr="002C4119">
        <w:rPr>
          <w:rFonts w:ascii="Century Schoolbook" w:hAnsi="Century Schoolbook"/>
          <w:i/>
          <w:iCs/>
        </w:rPr>
        <w:t>Elmore v. State</w:t>
      </w:r>
      <w:r w:rsidRPr="002C4119">
        <w:rPr>
          <w:rFonts w:ascii="Century Schoolbook" w:hAnsi="Century Schoolbook"/>
        </w:rPr>
        <w:t>, 968 S.W.2d 462 (Tex. App.</w:t>
      </w:r>
      <w:r w:rsidR="006278BF">
        <w:rPr>
          <w:rFonts w:ascii="Century Schoolbook" w:hAnsi="Century Schoolbook"/>
        </w:rPr>
        <w:t xml:space="preserve">—Eastland </w:t>
      </w:r>
      <w:r w:rsidRPr="002C4119">
        <w:rPr>
          <w:rFonts w:ascii="Century Schoolbook" w:hAnsi="Century Schoolbook"/>
        </w:rPr>
        <w:t xml:space="preserve">1998) (extending </w:t>
      </w:r>
      <w:r w:rsidRPr="002C4119">
        <w:rPr>
          <w:rFonts w:ascii="Century Schoolbook" w:hAnsi="Century Schoolbook"/>
          <w:i/>
          <w:iCs/>
        </w:rPr>
        <w:t xml:space="preserve">Ake </w:t>
      </w:r>
      <w:r w:rsidRPr="002C4119">
        <w:rPr>
          <w:rFonts w:ascii="Century Schoolbook" w:hAnsi="Century Schoolbook"/>
        </w:rPr>
        <w:t xml:space="preserve">to noncapital case and nonmedical expert). </w:t>
      </w:r>
    </w:p>
  </w:footnote>
  <w:footnote w:id="15">
    <w:p w14:paraId="412BBEA5" w14:textId="54D1564A" w:rsidR="00950B7D" w:rsidRPr="002C4119" w:rsidRDefault="00950B7D">
      <w:pPr>
        <w:pStyle w:val="FootnoteText"/>
        <w:rPr>
          <w:rFonts w:ascii="Century Schoolbook" w:hAnsi="Century Schoolbook"/>
        </w:rPr>
      </w:pPr>
      <w:r w:rsidRPr="002C4119">
        <w:rPr>
          <w:rStyle w:val="FootnoteReference"/>
          <w:rFonts w:ascii="Century Schoolbook" w:hAnsi="Century Schoolbook"/>
        </w:rPr>
        <w:footnoteRef/>
      </w:r>
      <w:r w:rsidRPr="002C4119">
        <w:rPr>
          <w:rFonts w:ascii="Century Schoolbook" w:hAnsi="Century Schoolbook"/>
        </w:rPr>
        <w:t xml:space="preserve"> </w:t>
      </w:r>
      <w:r w:rsidRPr="002C4119">
        <w:rPr>
          <w:rFonts w:ascii="Century Schoolbook" w:hAnsi="Century Schoolbook"/>
          <w:i/>
          <w:iCs/>
        </w:rPr>
        <w:t>Rey v. State</w:t>
      </w:r>
      <w:r w:rsidRPr="002C4119">
        <w:rPr>
          <w:rFonts w:ascii="Century Schoolbook" w:hAnsi="Century Schoolbook"/>
        </w:rPr>
        <w:t xml:space="preserve">, 897 S.W. 2d 333, 346 (Tex. Crim. App. 1995) (“Accordingly, we hold that the denial of the appointment of an expert, consistent with </w:t>
      </w:r>
      <w:r w:rsidRPr="002C4119">
        <w:rPr>
          <w:rFonts w:ascii="Century Schoolbook" w:hAnsi="Century Schoolbook"/>
          <w:i/>
          <w:iCs/>
        </w:rPr>
        <w:t>Ake</w:t>
      </w:r>
      <w:r w:rsidRPr="002C4119">
        <w:rPr>
          <w:rFonts w:ascii="Century Schoolbook" w:hAnsi="Century Schoolbook"/>
        </w:rPr>
        <w:t>, amounts to structural error which cannot be evaluated for harm</w:t>
      </w:r>
      <w:r w:rsidR="006278BF">
        <w:rPr>
          <w:rFonts w:ascii="Century Schoolbook" w:hAnsi="Century Schoolbook"/>
        </w:rPr>
        <w:t>.</w:t>
      </w:r>
      <w:r w:rsidRPr="002C4119">
        <w:rPr>
          <w:rFonts w:ascii="Century Schoolbook" w:hAnsi="Century Schoolbook"/>
        </w:rPr>
        <w:t>”</w:t>
      </w:r>
      <w:r w:rsidR="006278BF">
        <w:rPr>
          <w:rFonts w:ascii="Century Schoolbook" w:hAnsi="Century Schoolbook"/>
        </w:rPr>
        <w:t>)</w:t>
      </w:r>
      <w:r w:rsidR="00FA6DF0">
        <w:rPr>
          <w:rFonts w:ascii="Century Schoolbook" w:hAnsi="Century Schoolbook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53F05" w14:textId="48E01FD7" w:rsidR="00B32B73" w:rsidRPr="00B32B73" w:rsidRDefault="00B32B73">
    <w:pPr>
      <w:pStyle w:val="Header"/>
      <w:rPr>
        <w:rFonts w:ascii="Century Schoolbook" w:hAnsi="Century Schoolbook"/>
        <w:i/>
        <w:iCs/>
        <w:color w:val="ED7D31" w:themeColor="accent2"/>
      </w:rPr>
    </w:pPr>
    <w:r w:rsidRPr="00B32B73">
      <w:rPr>
        <w:rFonts w:ascii="Century Schoolbook" w:hAnsi="Century Schoolbook"/>
        <w:i/>
        <w:iCs/>
        <w:color w:val="ED7D31" w:themeColor="accent2"/>
      </w:rPr>
      <w:t xml:space="preserve">DRAFT </w:t>
    </w:r>
  </w:p>
  <w:p w14:paraId="7BFC8176" w14:textId="0634A5B9" w:rsidR="002562DF" w:rsidRDefault="002562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14136"/>
    <w:multiLevelType w:val="hybridMultilevel"/>
    <w:tmpl w:val="01184F2C"/>
    <w:lvl w:ilvl="0" w:tplc="C90EA0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8456B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0824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DCA7F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1E2D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36089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FC2D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18BBF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FC1D1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56093"/>
    <w:multiLevelType w:val="hybridMultilevel"/>
    <w:tmpl w:val="070A7A1A"/>
    <w:lvl w:ilvl="0" w:tplc="D554B0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D3AD4"/>
    <w:multiLevelType w:val="hybridMultilevel"/>
    <w:tmpl w:val="12D4C4F6"/>
    <w:lvl w:ilvl="0" w:tplc="8BD6F5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7B4"/>
    <w:rsid w:val="00001AA9"/>
    <w:rsid w:val="00013B9E"/>
    <w:rsid w:val="000545AD"/>
    <w:rsid w:val="000719F2"/>
    <w:rsid w:val="000F743A"/>
    <w:rsid w:val="001148E5"/>
    <w:rsid w:val="00116418"/>
    <w:rsid w:val="00126BB9"/>
    <w:rsid w:val="00136B95"/>
    <w:rsid w:val="001514AC"/>
    <w:rsid w:val="001660EA"/>
    <w:rsid w:val="0017195D"/>
    <w:rsid w:val="001C095B"/>
    <w:rsid w:val="001E67AF"/>
    <w:rsid w:val="001E7E6B"/>
    <w:rsid w:val="001F20E3"/>
    <w:rsid w:val="002457B4"/>
    <w:rsid w:val="002525EF"/>
    <w:rsid w:val="002562DF"/>
    <w:rsid w:val="00274916"/>
    <w:rsid w:val="002C4119"/>
    <w:rsid w:val="002C4D1C"/>
    <w:rsid w:val="002D0BD7"/>
    <w:rsid w:val="00307914"/>
    <w:rsid w:val="003159C0"/>
    <w:rsid w:val="00316A8B"/>
    <w:rsid w:val="003249EB"/>
    <w:rsid w:val="00375C4E"/>
    <w:rsid w:val="00375D87"/>
    <w:rsid w:val="003A2412"/>
    <w:rsid w:val="003D31C6"/>
    <w:rsid w:val="003E5D60"/>
    <w:rsid w:val="003F0E6C"/>
    <w:rsid w:val="003F5D08"/>
    <w:rsid w:val="00404D91"/>
    <w:rsid w:val="004069C7"/>
    <w:rsid w:val="0041459F"/>
    <w:rsid w:val="00456817"/>
    <w:rsid w:val="00474D93"/>
    <w:rsid w:val="00490B8E"/>
    <w:rsid w:val="004A437A"/>
    <w:rsid w:val="004E19A1"/>
    <w:rsid w:val="00511439"/>
    <w:rsid w:val="00523801"/>
    <w:rsid w:val="00540143"/>
    <w:rsid w:val="00595804"/>
    <w:rsid w:val="00595CC7"/>
    <w:rsid w:val="005B40C8"/>
    <w:rsid w:val="00610856"/>
    <w:rsid w:val="006235F9"/>
    <w:rsid w:val="006278BF"/>
    <w:rsid w:val="006418C7"/>
    <w:rsid w:val="00675D93"/>
    <w:rsid w:val="00681D31"/>
    <w:rsid w:val="006A2F03"/>
    <w:rsid w:val="006B16A5"/>
    <w:rsid w:val="006D032D"/>
    <w:rsid w:val="00703228"/>
    <w:rsid w:val="00721CFA"/>
    <w:rsid w:val="0072293D"/>
    <w:rsid w:val="00745C6B"/>
    <w:rsid w:val="00762B43"/>
    <w:rsid w:val="007644FE"/>
    <w:rsid w:val="007C22BB"/>
    <w:rsid w:val="007D75E7"/>
    <w:rsid w:val="007F5154"/>
    <w:rsid w:val="00801CA3"/>
    <w:rsid w:val="008108F2"/>
    <w:rsid w:val="00827656"/>
    <w:rsid w:val="00836A45"/>
    <w:rsid w:val="00881564"/>
    <w:rsid w:val="00883152"/>
    <w:rsid w:val="00890C24"/>
    <w:rsid w:val="008973A7"/>
    <w:rsid w:val="008C4038"/>
    <w:rsid w:val="008D33C2"/>
    <w:rsid w:val="008D7AFD"/>
    <w:rsid w:val="00914B2F"/>
    <w:rsid w:val="00950B7D"/>
    <w:rsid w:val="00967859"/>
    <w:rsid w:val="009C1F22"/>
    <w:rsid w:val="009D54E8"/>
    <w:rsid w:val="009E4472"/>
    <w:rsid w:val="00A00608"/>
    <w:rsid w:val="00A134FD"/>
    <w:rsid w:val="00A64962"/>
    <w:rsid w:val="00A82651"/>
    <w:rsid w:val="00A92C57"/>
    <w:rsid w:val="00AC3920"/>
    <w:rsid w:val="00AC47C2"/>
    <w:rsid w:val="00AC7788"/>
    <w:rsid w:val="00AD2E4B"/>
    <w:rsid w:val="00AD57D8"/>
    <w:rsid w:val="00B32B73"/>
    <w:rsid w:val="00B376E6"/>
    <w:rsid w:val="00B44C59"/>
    <w:rsid w:val="00B45219"/>
    <w:rsid w:val="00B51C2E"/>
    <w:rsid w:val="00B55CED"/>
    <w:rsid w:val="00B5640D"/>
    <w:rsid w:val="00B61314"/>
    <w:rsid w:val="00BD09E8"/>
    <w:rsid w:val="00BF733C"/>
    <w:rsid w:val="00C73264"/>
    <w:rsid w:val="00C83386"/>
    <w:rsid w:val="00C86F05"/>
    <w:rsid w:val="00C9591C"/>
    <w:rsid w:val="00C96F41"/>
    <w:rsid w:val="00CF658F"/>
    <w:rsid w:val="00D50D9D"/>
    <w:rsid w:val="00D56573"/>
    <w:rsid w:val="00DA7F8B"/>
    <w:rsid w:val="00DF2CCE"/>
    <w:rsid w:val="00DF311F"/>
    <w:rsid w:val="00DF4BD0"/>
    <w:rsid w:val="00E65063"/>
    <w:rsid w:val="00E93BAA"/>
    <w:rsid w:val="00F20949"/>
    <w:rsid w:val="00F27AA6"/>
    <w:rsid w:val="00F35A26"/>
    <w:rsid w:val="00F446E9"/>
    <w:rsid w:val="00F52143"/>
    <w:rsid w:val="00F60908"/>
    <w:rsid w:val="00F744CB"/>
    <w:rsid w:val="00FA10C6"/>
    <w:rsid w:val="00FA16A1"/>
    <w:rsid w:val="00FA6DF0"/>
    <w:rsid w:val="00FB0F59"/>
    <w:rsid w:val="00FB640C"/>
    <w:rsid w:val="00FB648E"/>
    <w:rsid w:val="00FD17AF"/>
    <w:rsid w:val="00FE246A"/>
    <w:rsid w:val="00FF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C2815"/>
  <w15:chartTrackingRefBased/>
  <w15:docId w15:val="{5668C480-2D0C-4671-9C65-4C52A754D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92C57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640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640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640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A134F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134F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134F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732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32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32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32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32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26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C1F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2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B73"/>
  </w:style>
  <w:style w:type="paragraph" w:styleId="Footer">
    <w:name w:val="footer"/>
    <w:basedOn w:val="Normal"/>
    <w:link w:val="FooterChar"/>
    <w:uiPriority w:val="99"/>
    <w:unhideWhenUsed/>
    <w:rsid w:val="00B32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21725">
          <w:marLeft w:val="806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3977">
          <w:marLeft w:val="806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80919">
          <w:marLeft w:val="806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9875">
          <w:marLeft w:val="806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79F0A1E2F634B8036873131B58AFF" ma:contentTypeVersion="11" ma:contentTypeDescription="Create a new document." ma:contentTypeScope="" ma:versionID="34ee267f545b1b2b4a1ec0f298cc0a20">
  <xsd:schema xmlns:xsd="http://www.w3.org/2001/XMLSchema" xmlns:xs="http://www.w3.org/2001/XMLSchema" xmlns:p="http://schemas.microsoft.com/office/2006/metadata/properties" xmlns:ns2="9b0e3331-f545-48ec-8171-5e8b2874f4ce" xmlns:ns3="a534990e-15ea-406a-82fb-607ada8a444c" targetNamespace="http://schemas.microsoft.com/office/2006/metadata/properties" ma:root="true" ma:fieldsID="47acab9577ff87dda538a09e52e36201" ns2:_="" ns3:_="">
    <xsd:import namespace="9b0e3331-f545-48ec-8171-5e8b2874f4ce"/>
    <xsd:import namespace="a534990e-15ea-406a-82fb-607ada8a44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0e3331-f545-48ec-8171-5e8b2874f4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4990e-15ea-406a-82fb-607ada8a44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228B95-ABE4-4604-A1BC-94993A01F9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176B6C-9098-49A8-AA2B-6B94E98F7B62}"/>
</file>

<file path=customXml/itemProps3.xml><?xml version="1.0" encoding="utf-8"?>
<ds:datastoreItem xmlns:ds="http://schemas.openxmlformats.org/officeDocument/2006/customXml" ds:itemID="{54581F1F-82C6-404D-B0DA-96900DBC2BBB}"/>
</file>

<file path=customXml/itemProps4.xml><?xml version="1.0" encoding="utf-8"?>
<ds:datastoreItem xmlns:ds="http://schemas.openxmlformats.org/officeDocument/2006/customXml" ds:itemID="{BEE51802-09D2-480F-97A1-A547139498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623</Words>
  <Characters>3556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Wimmer</dc:creator>
  <cp:keywords/>
  <dc:description/>
  <cp:lastModifiedBy>Jordan Pollock</cp:lastModifiedBy>
  <cp:revision>2</cp:revision>
  <dcterms:created xsi:type="dcterms:W3CDTF">2020-06-09T21:54:00Z</dcterms:created>
  <dcterms:modified xsi:type="dcterms:W3CDTF">2020-06-09T21:54:00Z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0x0101001CF79F0A1E2F634B8036873131B58AFF</vt:lpwstr>
  </property>
</Properties>
</file>